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274FDA0D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6543D2D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3EFD336" wp14:editId="72867DA1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BBCAC6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5F0F8E" w14:textId="77777777" w:rsidR="00784023" w:rsidRPr="00953FAB" w:rsidRDefault="00784023" w:rsidP="008F36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74E49DB7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01835B3D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76861A2B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D6CE29D" w14:textId="77777777" w:rsidR="000974EE" w:rsidRDefault="000974EE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153E87BA" w14:textId="77777777" w:rsidR="005F7AC5" w:rsidRDefault="00626A7A" w:rsidP="00626A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</w:t>
            </w:r>
            <w:r w:rsidR="00A568A6">
              <w:rPr>
                <w:rFonts w:ascii="Arial" w:hAnsi="Arial" w:cs="Arial"/>
                <w:b/>
              </w:rPr>
              <w:t>TWIERDZ</w:t>
            </w:r>
            <w:r w:rsidR="005F7AC5">
              <w:rPr>
                <w:rFonts w:ascii="Arial" w:hAnsi="Arial" w:cs="Arial"/>
                <w:b/>
              </w:rPr>
              <w:t>ANIE  PROJEKTÓW  STAŁEJ  LUB  CZASOWEJ</w:t>
            </w:r>
          </w:p>
          <w:p w14:paraId="1AE9AEE8" w14:textId="77777777" w:rsidR="005F7AC5" w:rsidRDefault="005F7AC5" w:rsidP="00626A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ORGANIZACJI  RUCHU  NA  DRODZE  POWIATOWEJ  </w:t>
            </w:r>
          </w:p>
          <w:p w14:paraId="11E7C6F0" w14:textId="77777777" w:rsidR="00626A7A" w:rsidRDefault="005F7AC5" w:rsidP="00626A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LUB  GMINNEJ</w:t>
            </w:r>
            <w:r w:rsidR="00A568A6">
              <w:rPr>
                <w:rFonts w:ascii="Arial" w:hAnsi="Arial" w:cs="Arial"/>
                <w:b/>
              </w:rPr>
              <w:t xml:space="preserve"> </w:t>
            </w:r>
          </w:p>
          <w:p w14:paraId="03C791B3" w14:textId="77777777" w:rsidR="00626A7A" w:rsidRPr="002A70BF" w:rsidRDefault="00626A7A" w:rsidP="0062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1A2D2F76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52827485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A568A6">
              <w:rPr>
                <w:rFonts w:ascii="Arial" w:hAnsi="Arial" w:cs="Arial"/>
                <w:b/>
              </w:rPr>
              <w:t>6</w:t>
            </w:r>
            <w:r w:rsidR="00FF1BEA">
              <w:rPr>
                <w:rFonts w:ascii="Arial" w:hAnsi="Arial" w:cs="Arial"/>
                <w:b/>
              </w:rPr>
              <w:t>8</w:t>
            </w:r>
          </w:p>
          <w:p w14:paraId="71BCE40F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11A6D43E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4829024C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684A0B27" w14:textId="77777777" w:rsidR="009407CB" w:rsidRPr="0055308A" w:rsidRDefault="009407CB">
      <w:pPr>
        <w:rPr>
          <w:sz w:val="16"/>
          <w:szCs w:val="16"/>
        </w:rPr>
      </w:pPr>
    </w:p>
    <w:p w14:paraId="7B9AC66F" w14:textId="77777777" w:rsidR="003061E7" w:rsidRPr="00021EC1" w:rsidRDefault="00D94B85" w:rsidP="00D94B85">
      <w:pPr>
        <w:jc w:val="both"/>
        <w:rPr>
          <w:rFonts w:ascii="Arial" w:hAnsi="Arial"/>
          <w:color w:val="4F81BD" w:themeColor="accent1"/>
        </w:rPr>
      </w:pPr>
      <w:r w:rsidRPr="00D94B85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D94B85">
        <w:rPr>
          <w:rFonts w:ascii="Arial" w:hAnsi="Arial"/>
        </w:rPr>
        <w:t xml:space="preserve">wniosek </w:t>
      </w:r>
      <w:r w:rsidR="00975571">
        <w:rPr>
          <w:rFonts w:ascii="Arial" w:hAnsi="Arial"/>
        </w:rPr>
        <w:t xml:space="preserve">o </w:t>
      </w:r>
      <w:r w:rsidRPr="00D94B85">
        <w:rPr>
          <w:rFonts w:ascii="Arial" w:hAnsi="Arial"/>
        </w:rPr>
        <w:t>za</w:t>
      </w:r>
      <w:r w:rsidR="00975571">
        <w:rPr>
          <w:rFonts w:ascii="Arial" w:hAnsi="Arial"/>
        </w:rPr>
        <w:t>twierdzenie</w:t>
      </w:r>
      <w:r w:rsidRPr="00D94B85">
        <w:rPr>
          <w:rFonts w:ascii="Arial" w:hAnsi="Arial"/>
        </w:rPr>
        <w:t xml:space="preserve"> </w:t>
      </w:r>
      <w:r w:rsidR="00975571">
        <w:rPr>
          <w:rFonts w:ascii="Arial" w:hAnsi="Arial"/>
        </w:rPr>
        <w:t>stałej lub czasowej organizacji ruchu</w:t>
      </w:r>
      <w:r w:rsidR="00470118">
        <w:rPr>
          <w:rFonts w:ascii="Arial" w:hAnsi="Arial"/>
        </w:rPr>
        <w:t>,</w:t>
      </w:r>
    </w:p>
    <w:p w14:paraId="7BBB8668" w14:textId="77777777" w:rsidR="00975571" w:rsidRDefault="00D94B85" w:rsidP="00C67BC5">
      <w:pPr>
        <w:rPr>
          <w:rFonts w:ascii="Arial" w:hAnsi="Arial"/>
        </w:rPr>
      </w:pPr>
      <w:r w:rsidRPr="00D94B85">
        <w:rPr>
          <w:rFonts w:ascii="Arial" w:hAnsi="Arial" w:cs="Arial"/>
        </w:rPr>
        <w:t>2.</w:t>
      </w:r>
      <w:r w:rsidR="00C67BC5" w:rsidRPr="00C67BC5">
        <w:rPr>
          <w:rFonts w:ascii="Arial" w:hAnsi="Arial"/>
        </w:rPr>
        <w:t xml:space="preserve"> </w:t>
      </w:r>
      <w:r w:rsidR="00975571">
        <w:rPr>
          <w:rFonts w:ascii="Arial" w:hAnsi="Arial"/>
        </w:rPr>
        <w:t>projekt organizacji ruchu w dwu egzemplarzach,</w:t>
      </w:r>
    </w:p>
    <w:p w14:paraId="64204E2C" w14:textId="77777777" w:rsidR="00E055B3" w:rsidRDefault="00C67BC5" w:rsidP="00C67BC5">
      <w:pPr>
        <w:rPr>
          <w:rFonts w:ascii="Arial" w:hAnsi="Arial"/>
        </w:rPr>
      </w:pPr>
      <w:r>
        <w:rPr>
          <w:rFonts w:ascii="Arial" w:hAnsi="Arial"/>
        </w:rPr>
        <w:t>3.</w:t>
      </w:r>
      <w:r w:rsidR="007906C1">
        <w:rPr>
          <w:rFonts w:ascii="Arial" w:hAnsi="Arial"/>
        </w:rPr>
        <w:t xml:space="preserve"> opinia komendanta powiatowego Policji w przypadku </w:t>
      </w:r>
      <w:r w:rsidR="00E055B3">
        <w:rPr>
          <w:rFonts w:ascii="Arial" w:hAnsi="Arial"/>
        </w:rPr>
        <w:t xml:space="preserve">projektu obejmującego </w:t>
      </w:r>
      <w:r w:rsidR="007906C1">
        <w:rPr>
          <w:rFonts w:ascii="Arial" w:hAnsi="Arial"/>
        </w:rPr>
        <w:t>drog</w:t>
      </w:r>
      <w:r w:rsidR="00E055B3">
        <w:rPr>
          <w:rFonts w:ascii="Arial" w:hAnsi="Arial"/>
        </w:rPr>
        <w:t>ę</w:t>
      </w:r>
    </w:p>
    <w:p w14:paraId="4663DAB5" w14:textId="77777777" w:rsidR="00975571" w:rsidRDefault="00E055B3" w:rsidP="00C67BC5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794DBB">
        <w:rPr>
          <w:rFonts w:ascii="Arial" w:hAnsi="Arial"/>
        </w:rPr>
        <w:t>p</w:t>
      </w:r>
      <w:r>
        <w:rPr>
          <w:rFonts w:ascii="Arial" w:hAnsi="Arial"/>
        </w:rPr>
        <w:t>owiatową</w:t>
      </w:r>
      <w:r w:rsidR="00794DBB">
        <w:rPr>
          <w:rFonts w:ascii="Arial" w:hAnsi="Arial"/>
        </w:rPr>
        <w:t>,</w:t>
      </w:r>
      <w:r w:rsidR="007906C1">
        <w:rPr>
          <w:rFonts w:ascii="Arial" w:hAnsi="Arial"/>
        </w:rPr>
        <w:t xml:space="preserve"> </w:t>
      </w:r>
    </w:p>
    <w:p w14:paraId="7FCA1ABB" w14:textId="77777777" w:rsidR="00975571" w:rsidRDefault="00794DBB" w:rsidP="00975571">
      <w:pPr>
        <w:rPr>
          <w:rFonts w:ascii="Arial" w:hAnsi="Arial"/>
        </w:rPr>
      </w:pPr>
      <w:r>
        <w:rPr>
          <w:rFonts w:ascii="Arial" w:hAnsi="Arial"/>
        </w:rPr>
        <w:t>4</w:t>
      </w:r>
      <w:r w:rsidR="00C67BC5">
        <w:rPr>
          <w:rFonts w:ascii="Arial" w:hAnsi="Arial"/>
        </w:rPr>
        <w:t xml:space="preserve">. </w:t>
      </w:r>
      <w:r w:rsidR="00E055B3">
        <w:rPr>
          <w:rFonts w:ascii="Arial" w:hAnsi="Arial"/>
        </w:rPr>
        <w:t>opinia zarządu drogi, jeżeli nie jest on jednostką składającą projekt</w:t>
      </w:r>
      <w:r w:rsidR="001B2535">
        <w:rPr>
          <w:rFonts w:ascii="Arial" w:hAnsi="Arial"/>
        </w:rPr>
        <w:t>.</w:t>
      </w:r>
    </w:p>
    <w:p w14:paraId="077074FE" w14:textId="77777777" w:rsidR="00F763B8" w:rsidRDefault="00F763B8" w:rsidP="00242F29">
      <w:pPr>
        <w:jc w:val="both"/>
        <w:rPr>
          <w:rFonts w:ascii="Arial" w:hAnsi="Arial"/>
        </w:rPr>
      </w:pPr>
    </w:p>
    <w:p w14:paraId="0044EDE6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6F6737D1" w14:textId="77777777"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65D52DA8" w14:textId="77777777" w:rsidR="006212A7" w:rsidRDefault="006212A7" w:rsidP="006212A7">
      <w:pPr>
        <w:pStyle w:val="Nagwek1"/>
      </w:pPr>
      <w:r>
        <w:t xml:space="preserve">Starostwo Powiatowe, ul. Racławicka 13, 75-620 Koszalin </w:t>
      </w:r>
    </w:p>
    <w:p w14:paraId="3E458170" w14:textId="77777777" w:rsidR="006212A7" w:rsidRDefault="00FE71CE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Kancelaria Ogólna</w:t>
      </w:r>
      <w:r w:rsidR="006212A7">
        <w:rPr>
          <w:rFonts w:ascii="Arial" w:hAnsi="Arial" w:cs="Arial"/>
          <w:b/>
          <w:bCs/>
        </w:rPr>
        <w:t xml:space="preserve">. </w:t>
      </w:r>
    </w:p>
    <w:p w14:paraId="0B8385C0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14:paraId="4FAEC4FB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7EC7ADCB" w14:textId="77777777" w:rsidR="009D5155" w:rsidRPr="009D5155" w:rsidRDefault="009D5155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4D633211" w14:textId="77777777" w:rsidR="00D874A0" w:rsidRDefault="00D874A0" w:rsidP="00021EC1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opłacie skarbowej.</w:t>
      </w:r>
    </w:p>
    <w:p w14:paraId="7184909D" w14:textId="77777777" w:rsidR="00D874A0" w:rsidRPr="00D874A0" w:rsidRDefault="00D874A0" w:rsidP="00021EC1">
      <w:pPr>
        <w:ind w:right="-624"/>
        <w:jc w:val="both"/>
        <w:rPr>
          <w:rFonts w:ascii="Arial" w:hAnsi="Arial" w:cs="Arial"/>
          <w:sz w:val="16"/>
          <w:szCs w:val="16"/>
        </w:rPr>
      </w:pPr>
    </w:p>
    <w:p w14:paraId="05ACBA18" w14:textId="77777777"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4E6BE34A" w14:textId="77777777"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1BFB6D0B" w14:textId="77777777" w:rsidR="00021EC1" w:rsidRDefault="00021EC1" w:rsidP="00021E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17930CB3" w14:textId="77777777" w:rsidR="00145236" w:rsidRPr="00813DC9" w:rsidRDefault="00145236" w:rsidP="00145236">
      <w:pPr>
        <w:jc w:val="both"/>
        <w:rPr>
          <w:rFonts w:ascii="Arial" w:hAnsi="Arial" w:cs="Arial"/>
          <w:sz w:val="16"/>
          <w:szCs w:val="16"/>
        </w:rPr>
      </w:pPr>
    </w:p>
    <w:p w14:paraId="7F5AF05C" w14:textId="77777777" w:rsidR="00602A32" w:rsidRDefault="00D874A0" w:rsidP="00602A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Zatwierdzenie projektu stałej lub czasowej organizacji ruchu na drodze powiatowej lub gminnej</w:t>
      </w:r>
      <w:r w:rsidR="0047129C">
        <w:rPr>
          <w:rFonts w:ascii="Arial" w:hAnsi="Arial" w:cs="Arial"/>
        </w:rPr>
        <w:t xml:space="preserve"> </w:t>
      </w:r>
      <w:r w:rsidR="0095544C">
        <w:rPr>
          <w:rFonts w:ascii="Arial" w:hAnsi="Arial" w:cs="Arial"/>
        </w:rPr>
        <w:t>w całości lub w części lub odesłanie projektu w celu wprowadzenia poprawek oraz odrzucenie projektu</w:t>
      </w:r>
      <w:r w:rsidR="00602A32">
        <w:rPr>
          <w:rFonts w:ascii="Arial" w:hAnsi="Arial" w:cs="Arial"/>
        </w:rPr>
        <w:t>.</w:t>
      </w:r>
    </w:p>
    <w:p w14:paraId="5EC4089C" w14:textId="77777777" w:rsidR="00602A32" w:rsidRPr="00802204" w:rsidRDefault="00602A32" w:rsidP="00602A32">
      <w:pPr>
        <w:jc w:val="both"/>
        <w:rPr>
          <w:rFonts w:ascii="Arial" w:hAnsi="Arial" w:cs="Arial"/>
          <w:sz w:val="16"/>
          <w:szCs w:val="16"/>
        </w:rPr>
      </w:pPr>
    </w:p>
    <w:p w14:paraId="218B2702" w14:textId="77777777" w:rsidR="005873A4" w:rsidRDefault="005873A4" w:rsidP="00602A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Organizację ruchu zatwierdza, na podstawie projektu organizacji ruchu, organ zarządzający ruchem właściwy dla danej drogi.</w:t>
      </w:r>
    </w:p>
    <w:p w14:paraId="72644580" w14:textId="77777777" w:rsidR="005873A4" w:rsidRPr="005873A4" w:rsidRDefault="005873A4" w:rsidP="00602A32">
      <w:pPr>
        <w:jc w:val="both"/>
        <w:rPr>
          <w:rFonts w:ascii="Arial" w:hAnsi="Arial" w:cs="Arial"/>
          <w:sz w:val="16"/>
          <w:szCs w:val="16"/>
        </w:rPr>
      </w:pPr>
    </w:p>
    <w:p w14:paraId="0BCB2E2C" w14:textId="77777777" w:rsidR="006D0AE5" w:rsidRPr="006D0AE5" w:rsidRDefault="005873A4" w:rsidP="00602A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skrzyżowaniu dróg o różnych organach zarządzających ruchem, organizację ruchu zatwierdza organ zarządzający ruchem właściwy dla drogi wyższej kategorii. </w:t>
      </w:r>
    </w:p>
    <w:p w14:paraId="0CB70C67" w14:textId="77777777" w:rsidR="006D0AE5" w:rsidRPr="006D0AE5" w:rsidRDefault="006D0AE5" w:rsidP="00602A32">
      <w:pPr>
        <w:jc w:val="both"/>
        <w:rPr>
          <w:rFonts w:ascii="Arial" w:hAnsi="Arial" w:cs="Arial"/>
          <w:sz w:val="16"/>
          <w:szCs w:val="16"/>
        </w:rPr>
      </w:pPr>
    </w:p>
    <w:p w14:paraId="65638AA8" w14:textId="77777777" w:rsidR="00D874A0" w:rsidRDefault="005873A4" w:rsidP="00602A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zamknięcia drogi dla ruchu lub wprowadzenia na drodze ograniczenia ruchu powodującego konieczność prowadzenia objazdów drogami różnej kategorii, czasową organizację ruchu zatwierdza organ zarządzający </w:t>
      </w:r>
      <w:r w:rsidR="007F3AB7">
        <w:rPr>
          <w:rFonts w:ascii="Arial" w:hAnsi="Arial" w:cs="Arial"/>
        </w:rPr>
        <w:t>ruchem właściwy dla drogi, na której wprowadzono ograniczenia.</w:t>
      </w:r>
      <w:r w:rsidR="006D0AE5">
        <w:rPr>
          <w:rFonts w:ascii="Arial" w:hAnsi="Arial" w:cs="Arial"/>
        </w:rPr>
        <w:t xml:space="preserve"> </w:t>
      </w:r>
    </w:p>
    <w:p w14:paraId="36CB348F" w14:textId="77777777" w:rsidR="00D874A0" w:rsidRPr="00D874A0" w:rsidRDefault="00D874A0" w:rsidP="00602A32">
      <w:pPr>
        <w:jc w:val="both"/>
        <w:rPr>
          <w:rFonts w:ascii="Arial" w:hAnsi="Arial" w:cs="Arial"/>
          <w:sz w:val="16"/>
          <w:szCs w:val="16"/>
        </w:rPr>
      </w:pPr>
    </w:p>
    <w:p w14:paraId="2CAC3083" w14:textId="77777777" w:rsidR="00602A32" w:rsidRDefault="00B43931" w:rsidP="002345E7">
      <w:pPr>
        <w:ind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02A32">
        <w:rPr>
          <w:rFonts w:ascii="Arial" w:hAnsi="Arial" w:cs="Arial"/>
        </w:rPr>
        <w:t>a</w:t>
      </w:r>
      <w:r w:rsidR="005873A4">
        <w:rPr>
          <w:rFonts w:ascii="Arial" w:hAnsi="Arial" w:cs="Arial"/>
        </w:rPr>
        <w:t xml:space="preserve">twierdzenie </w:t>
      </w:r>
      <w:r w:rsidR="00E055B3">
        <w:rPr>
          <w:rFonts w:ascii="Arial" w:hAnsi="Arial" w:cs="Arial"/>
        </w:rPr>
        <w:t xml:space="preserve">stałej lub </w:t>
      </w:r>
      <w:r w:rsidR="005873A4">
        <w:rPr>
          <w:rFonts w:ascii="Arial" w:hAnsi="Arial" w:cs="Arial"/>
        </w:rPr>
        <w:t>czasowej organizacji ruchu jest wydawane na czas oznaczony</w:t>
      </w:r>
      <w:r w:rsidR="00E055B3">
        <w:rPr>
          <w:rFonts w:ascii="Arial" w:hAnsi="Arial" w:cs="Arial"/>
        </w:rPr>
        <w:t xml:space="preserve"> </w:t>
      </w:r>
      <w:r w:rsidR="002D6780">
        <w:rPr>
          <w:rFonts w:ascii="Arial" w:hAnsi="Arial" w:cs="Arial"/>
        </w:rPr>
        <w:t>we</w:t>
      </w:r>
      <w:r w:rsidR="00602A32">
        <w:rPr>
          <w:rFonts w:ascii="Arial" w:hAnsi="Arial" w:cs="Arial"/>
        </w:rPr>
        <w:t xml:space="preserve"> wniosk</w:t>
      </w:r>
      <w:r w:rsidR="002D6780">
        <w:rPr>
          <w:rFonts w:ascii="Arial" w:hAnsi="Arial" w:cs="Arial"/>
        </w:rPr>
        <w:t>u i zgodnie z podanym terminem ważności projektu organizacji ruchu</w:t>
      </w:r>
      <w:r w:rsidR="00602A32">
        <w:rPr>
          <w:rFonts w:ascii="Arial" w:hAnsi="Arial" w:cs="Arial"/>
        </w:rPr>
        <w:t>.</w:t>
      </w:r>
    </w:p>
    <w:p w14:paraId="64CDCDE8" w14:textId="77777777" w:rsidR="00602A32" w:rsidRPr="00802204" w:rsidRDefault="00602A32" w:rsidP="00602A32">
      <w:pPr>
        <w:jc w:val="both"/>
        <w:rPr>
          <w:rFonts w:ascii="Arial" w:hAnsi="Arial" w:cs="Arial"/>
          <w:sz w:val="16"/>
          <w:szCs w:val="16"/>
        </w:rPr>
      </w:pPr>
    </w:p>
    <w:p w14:paraId="46611F96" w14:textId="77777777" w:rsidR="00BD64F0" w:rsidRDefault="00E055B3" w:rsidP="00193C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organizacji ruchu </w:t>
      </w:r>
      <w:r w:rsidR="009E4758">
        <w:rPr>
          <w:rFonts w:ascii="Arial" w:hAnsi="Arial" w:cs="Arial"/>
        </w:rPr>
        <w:t xml:space="preserve">powinien spełniać wymagania określone w </w:t>
      </w:r>
      <m:oMath>
        <m:r>
          <w:rPr>
            <w:rFonts w:ascii="Cambria Math" w:hAnsi="Cambria Math" w:cs="Arial"/>
          </w:rPr>
          <m:t>§</m:t>
        </m:r>
      </m:oMath>
      <w:r w:rsidR="009E4758">
        <w:rPr>
          <w:rFonts w:ascii="Arial" w:hAnsi="Arial" w:cs="Arial"/>
        </w:rPr>
        <w:t xml:space="preserve"> 5 rozporządzenia Ministra Infrastruktury z dnia 23 września 2003 roku w sprawie </w:t>
      </w:r>
    </w:p>
    <w:p w14:paraId="1705A353" w14:textId="77777777" w:rsidR="00E055B3" w:rsidRDefault="009E4758" w:rsidP="00193C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szczegółowych warunków zarządzania ruchem na drogach oraz wykonywania nadzoru nad tym zarządzaniem.</w:t>
      </w:r>
    </w:p>
    <w:p w14:paraId="4E5754DC" w14:textId="77777777" w:rsidR="00E055B3" w:rsidRPr="00E055B3" w:rsidRDefault="00E055B3" w:rsidP="00193CF5">
      <w:pPr>
        <w:jc w:val="both"/>
        <w:rPr>
          <w:rFonts w:ascii="Arial" w:hAnsi="Arial" w:cs="Arial"/>
          <w:sz w:val="16"/>
          <w:szCs w:val="16"/>
        </w:rPr>
      </w:pPr>
    </w:p>
    <w:p w14:paraId="075F4E1F" w14:textId="77777777" w:rsidR="001B2535" w:rsidRDefault="001B2535" w:rsidP="00193CF5">
      <w:pPr>
        <w:jc w:val="both"/>
        <w:rPr>
          <w:rFonts w:ascii="Arial" w:hAnsi="Arial" w:cs="Arial"/>
        </w:rPr>
      </w:pPr>
    </w:p>
    <w:p w14:paraId="6E44B8B3" w14:textId="77777777" w:rsidR="001B2535" w:rsidRDefault="001B2535" w:rsidP="00193CF5">
      <w:pPr>
        <w:jc w:val="both"/>
        <w:rPr>
          <w:rFonts w:ascii="Arial" w:hAnsi="Arial" w:cs="Arial"/>
        </w:rPr>
      </w:pPr>
    </w:p>
    <w:p w14:paraId="5D6EA921" w14:textId="77777777" w:rsidR="001B2535" w:rsidRDefault="001B2535" w:rsidP="00193CF5">
      <w:pPr>
        <w:jc w:val="both"/>
        <w:rPr>
          <w:rFonts w:ascii="Arial" w:hAnsi="Arial" w:cs="Arial"/>
        </w:rPr>
      </w:pPr>
    </w:p>
    <w:p w14:paraId="795B4BCC" w14:textId="77777777" w:rsidR="001B2535" w:rsidRDefault="001B2535" w:rsidP="00193CF5">
      <w:pPr>
        <w:jc w:val="both"/>
        <w:rPr>
          <w:rFonts w:ascii="Arial" w:hAnsi="Arial" w:cs="Arial"/>
        </w:rPr>
      </w:pPr>
    </w:p>
    <w:p w14:paraId="3E77D821" w14:textId="77777777" w:rsidR="00792A63" w:rsidRDefault="00792A63" w:rsidP="00193C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Jednostka wprowadzająca organizację ruchu zawiadamia organ zarządzający ruchem, zarząd drogi oraz właściwego komendanta Policji o terminie jej wprowadzenia, co najmniej na 7 dni przed dniem wprowadzenia organizacji ruchu. </w:t>
      </w:r>
    </w:p>
    <w:p w14:paraId="16AB501E" w14:textId="77777777" w:rsidR="00792A63" w:rsidRPr="00792A63" w:rsidRDefault="00792A63" w:rsidP="00193CF5">
      <w:pPr>
        <w:jc w:val="both"/>
        <w:rPr>
          <w:rFonts w:ascii="Arial" w:hAnsi="Arial" w:cs="Arial"/>
          <w:sz w:val="16"/>
          <w:szCs w:val="16"/>
        </w:rPr>
      </w:pPr>
    </w:p>
    <w:p w14:paraId="452D587A" w14:textId="77777777" w:rsidR="00E92436" w:rsidRDefault="00792A63" w:rsidP="00193C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robót związanych z utrzymaniem drogi niewymagających całkowitego zamknięcia  jezdni dla ruchu pojazdów samochodowych, które wymagają zmian w organizacji ruchu wyłącznie w czasie wykonywania </w:t>
      </w:r>
      <w:r w:rsidR="00E92436">
        <w:rPr>
          <w:rFonts w:ascii="Arial" w:hAnsi="Arial" w:cs="Arial"/>
        </w:rPr>
        <w:t>czynności, jednostka wprowadzająca tę organizację ruchu zawiadamia organ zarządzający ruchem, zarząd drogi oraz właściwego komendanta Policji o planowanym rozpoczęciu prac, podając datę, czas i miejsce ich wykonywania, co najmniej na 24 godziny przed ich rozpoczęciem.  Organizacja ruchu może być wprowadzona pod warunkiem braku sprzeciwu ze strony organu zarządzającego ruchem.</w:t>
      </w:r>
    </w:p>
    <w:p w14:paraId="77A82865" w14:textId="77777777" w:rsidR="00792A63" w:rsidRPr="00E92436" w:rsidRDefault="00792A63" w:rsidP="00193CF5">
      <w:pPr>
        <w:jc w:val="both"/>
        <w:rPr>
          <w:rFonts w:ascii="Arial" w:hAnsi="Arial" w:cs="Arial"/>
          <w:sz w:val="16"/>
          <w:szCs w:val="16"/>
        </w:rPr>
      </w:pPr>
      <w:r w:rsidRPr="00E92436">
        <w:rPr>
          <w:rFonts w:ascii="Arial" w:hAnsi="Arial" w:cs="Arial"/>
          <w:sz w:val="16"/>
          <w:szCs w:val="16"/>
        </w:rPr>
        <w:t xml:space="preserve">   </w:t>
      </w:r>
    </w:p>
    <w:p w14:paraId="09229000" w14:textId="77777777" w:rsidR="00E92436" w:rsidRDefault="00E92436" w:rsidP="00193C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Jeżeli organizacja ruchu ma charakter stały, organ zarządzający ruchem, w terminie do14 dni od dnia wprowadzenia organizacji ruchu, przeprowadza kontrolę wykonania</w:t>
      </w:r>
    </w:p>
    <w:p w14:paraId="0DFAF34B" w14:textId="77777777" w:rsidR="00E92436" w:rsidRDefault="00E92436" w:rsidP="00193C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zadań technicznych wynikających z realizacji projektu.</w:t>
      </w:r>
    </w:p>
    <w:p w14:paraId="6F544CED" w14:textId="77777777" w:rsidR="00E92436" w:rsidRPr="00E92436" w:rsidRDefault="00E92436" w:rsidP="00193CF5">
      <w:pPr>
        <w:jc w:val="both"/>
        <w:rPr>
          <w:rFonts w:ascii="Arial" w:hAnsi="Arial" w:cs="Arial"/>
          <w:sz w:val="16"/>
          <w:szCs w:val="16"/>
        </w:rPr>
      </w:pPr>
    </w:p>
    <w:p w14:paraId="10180148" w14:textId="77777777" w:rsidR="00E92436" w:rsidRDefault="00E92436" w:rsidP="00193C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terminie określ</w:t>
      </w:r>
      <w:r w:rsidR="0047129C">
        <w:rPr>
          <w:rFonts w:ascii="Arial" w:hAnsi="Arial" w:cs="Arial"/>
        </w:rPr>
        <w:t xml:space="preserve">onym przez </w:t>
      </w:r>
      <w:r>
        <w:rPr>
          <w:rFonts w:ascii="Arial" w:hAnsi="Arial" w:cs="Arial"/>
        </w:rPr>
        <w:t>organ zarządzający ruchem</w:t>
      </w:r>
      <w:r w:rsidR="0047129C">
        <w:rPr>
          <w:rFonts w:ascii="Arial" w:hAnsi="Arial" w:cs="Arial"/>
        </w:rPr>
        <w:t xml:space="preserve">, w którym powinna zostać wprowadzona zatwierdzona organizacja ruchu, brak jest zawiadomienia o jej wprowadzeniu – organ zarządzający ruchem informuje zarząd drogi o utracie ważności zatwierdzonej organizacji ruchu.    </w:t>
      </w:r>
      <w:r>
        <w:rPr>
          <w:rFonts w:ascii="Arial" w:hAnsi="Arial" w:cs="Arial"/>
        </w:rPr>
        <w:t xml:space="preserve"> </w:t>
      </w:r>
    </w:p>
    <w:p w14:paraId="03F5F144" w14:textId="77777777" w:rsidR="00E92436" w:rsidRPr="00E92436" w:rsidRDefault="00E92436" w:rsidP="00193CF5">
      <w:pPr>
        <w:jc w:val="both"/>
        <w:rPr>
          <w:rFonts w:ascii="Arial" w:hAnsi="Arial" w:cs="Arial"/>
          <w:sz w:val="16"/>
          <w:szCs w:val="16"/>
        </w:rPr>
      </w:pPr>
    </w:p>
    <w:p w14:paraId="0D356378" w14:textId="77777777" w:rsidR="00CF314F" w:rsidRDefault="00602A32" w:rsidP="00193C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dotyczące </w:t>
      </w:r>
      <w:r w:rsidR="002D6780">
        <w:rPr>
          <w:rFonts w:ascii="Arial" w:hAnsi="Arial" w:cs="Arial"/>
        </w:rPr>
        <w:t xml:space="preserve">zatwierdzania projektu </w:t>
      </w:r>
      <w:r w:rsidR="00522680">
        <w:rPr>
          <w:rFonts w:ascii="Arial" w:hAnsi="Arial" w:cs="Arial"/>
        </w:rPr>
        <w:t xml:space="preserve">organizacji ruchu </w:t>
      </w:r>
      <w:r>
        <w:rPr>
          <w:rFonts w:ascii="Arial" w:hAnsi="Arial" w:cs="Arial"/>
        </w:rPr>
        <w:t xml:space="preserve">załatwia </w:t>
      </w:r>
      <w:r w:rsidR="00522680">
        <w:rPr>
          <w:rFonts w:ascii="Arial" w:hAnsi="Arial" w:cs="Arial"/>
        </w:rPr>
        <w:t xml:space="preserve">zarząd drogi </w:t>
      </w:r>
      <w:r>
        <w:rPr>
          <w:rFonts w:ascii="Arial" w:hAnsi="Arial" w:cs="Arial"/>
        </w:rPr>
        <w:t>lub o</w:t>
      </w:r>
      <w:r w:rsidR="00522680">
        <w:rPr>
          <w:rFonts w:ascii="Arial" w:hAnsi="Arial" w:cs="Arial"/>
        </w:rPr>
        <w:t xml:space="preserve">rgan zarządzający ruchem, inwestor lub jednostka określona w § 11 pkt 1 – 6 </w:t>
      </w:r>
      <w:r w:rsidR="009E4758">
        <w:rPr>
          <w:rFonts w:ascii="Arial" w:hAnsi="Arial" w:cs="Arial"/>
        </w:rPr>
        <w:t>cytowanego</w:t>
      </w:r>
      <w:r w:rsidR="00E055B3">
        <w:rPr>
          <w:rFonts w:ascii="Arial" w:hAnsi="Arial" w:cs="Arial"/>
        </w:rPr>
        <w:t xml:space="preserve"> wy</w:t>
      </w:r>
      <w:r w:rsidR="009E4758">
        <w:rPr>
          <w:rFonts w:ascii="Arial" w:hAnsi="Arial" w:cs="Arial"/>
        </w:rPr>
        <w:t>żej</w:t>
      </w:r>
      <w:r w:rsidR="00E055B3">
        <w:rPr>
          <w:rFonts w:ascii="Arial" w:hAnsi="Arial" w:cs="Arial"/>
        </w:rPr>
        <w:t xml:space="preserve"> </w:t>
      </w:r>
      <w:r w:rsidR="00522680">
        <w:rPr>
          <w:rFonts w:ascii="Arial" w:hAnsi="Arial" w:cs="Arial"/>
        </w:rPr>
        <w:t xml:space="preserve">rozporządzenia </w:t>
      </w:r>
      <w:r w:rsidR="007906C1">
        <w:rPr>
          <w:rFonts w:ascii="Arial" w:hAnsi="Arial" w:cs="Arial"/>
        </w:rPr>
        <w:t>oraz osoba realizująca zamówienie wymienionych jednostek.</w:t>
      </w:r>
      <w:r w:rsidR="00522680">
        <w:rPr>
          <w:rFonts w:ascii="Arial" w:hAnsi="Arial" w:cs="Arial"/>
        </w:rPr>
        <w:t xml:space="preserve"> </w:t>
      </w:r>
    </w:p>
    <w:p w14:paraId="5435BB0C" w14:textId="77777777" w:rsidR="007906C1" w:rsidRDefault="007906C1" w:rsidP="00193CF5">
      <w:pPr>
        <w:jc w:val="both"/>
        <w:rPr>
          <w:rFonts w:ascii="Arial" w:hAnsi="Arial" w:cs="Arial"/>
        </w:rPr>
      </w:pPr>
    </w:p>
    <w:p w14:paraId="2C55AE00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6E010C64" w14:textId="77777777"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1ECD49FD" w14:textId="77777777" w:rsidR="00C01A7D" w:rsidRDefault="00C01A7D" w:rsidP="00C01A7D">
      <w:pPr>
        <w:pStyle w:val="Tekstpodstawowywcity"/>
        <w:spacing w:after="0"/>
        <w:ind w:left="142" w:hanging="142"/>
        <w:jc w:val="both"/>
        <w:rPr>
          <w:rFonts w:ascii="Arial" w:hAnsi="Arial" w:cs="Arial"/>
        </w:rPr>
      </w:pPr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poz. 110 </w:t>
      </w:r>
    </w:p>
    <w:p w14:paraId="449C381D" w14:textId="77777777" w:rsidR="00C01A7D" w:rsidRDefault="00C01A7D" w:rsidP="00C01A7D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 2020 r. z późniejszymi zmianami),</w:t>
      </w:r>
    </w:p>
    <w:p w14:paraId="38219C22" w14:textId="77777777" w:rsidR="00C01A7D" w:rsidRDefault="00C01A7D" w:rsidP="00C01A7D">
      <w:pPr>
        <w:ind w:right="-170"/>
        <w:rPr>
          <w:rFonts w:ascii="Arial" w:hAnsi="Arial" w:cs="Arial"/>
        </w:rPr>
      </w:pPr>
      <w:r w:rsidRPr="00375AC1">
        <w:rPr>
          <w:rFonts w:ascii="Arial" w:hAnsi="Arial" w:cs="Arial"/>
        </w:rPr>
        <w:t xml:space="preserve">2. ustawa z dnia 21 marca 1985 roku – O drogach publicznych (Dz. U. </w:t>
      </w:r>
      <w:r>
        <w:rPr>
          <w:rFonts w:ascii="Arial" w:hAnsi="Arial" w:cs="Arial"/>
        </w:rPr>
        <w:t xml:space="preserve">poz. 470 </w:t>
      </w:r>
      <w:r w:rsidRPr="00375AC1">
        <w:rPr>
          <w:rFonts w:ascii="Arial" w:hAnsi="Arial" w:cs="Arial"/>
        </w:rPr>
        <w:t xml:space="preserve">z </w:t>
      </w:r>
    </w:p>
    <w:p w14:paraId="7C6F97E5" w14:textId="77777777" w:rsidR="00C01A7D" w:rsidRPr="00375AC1" w:rsidRDefault="00C01A7D" w:rsidP="00C01A7D">
      <w:pPr>
        <w:ind w:right="-170"/>
        <w:rPr>
          <w:rFonts w:ascii="Arial" w:hAnsi="Arial" w:cs="Arial"/>
        </w:rPr>
      </w:pPr>
      <w:r>
        <w:rPr>
          <w:rFonts w:ascii="Arial" w:hAnsi="Arial" w:cs="Arial"/>
        </w:rPr>
        <w:t xml:space="preserve">    2020</w:t>
      </w:r>
      <w:r w:rsidRPr="00375AC1">
        <w:rPr>
          <w:rFonts w:ascii="Arial" w:hAnsi="Arial" w:cs="Arial"/>
        </w:rPr>
        <w:t xml:space="preserve"> r.),</w:t>
      </w:r>
    </w:p>
    <w:p w14:paraId="60231A56" w14:textId="77777777" w:rsidR="00C01A7D" w:rsidRDefault="00C01A7D" w:rsidP="00C01A7D">
      <w:pPr>
        <w:rPr>
          <w:rFonts w:ascii="Arial" w:hAnsi="Arial" w:cs="Arial"/>
        </w:rPr>
      </w:pPr>
      <w:r w:rsidRPr="00602A32">
        <w:rPr>
          <w:rFonts w:ascii="Arial" w:hAnsi="Arial" w:cs="Arial"/>
        </w:rPr>
        <w:t>3.</w:t>
      </w:r>
      <w:r w:rsidRPr="00375AC1">
        <w:t xml:space="preserve"> </w:t>
      </w:r>
      <w:r w:rsidRPr="00602A32">
        <w:rPr>
          <w:rFonts w:ascii="Arial" w:hAnsi="Arial" w:cs="Arial"/>
        </w:rPr>
        <w:t xml:space="preserve">rozporządzenie Ministra Infrastruktury z dnia 23 września 2003 roku w sprawie </w:t>
      </w:r>
    </w:p>
    <w:p w14:paraId="3DB62FAE" w14:textId="77777777" w:rsidR="00C01A7D" w:rsidRDefault="00C01A7D" w:rsidP="00C01A7D">
      <w:pPr>
        <w:ind w:right="-397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02A32">
        <w:rPr>
          <w:rFonts w:ascii="Arial" w:hAnsi="Arial" w:cs="Arial"/>
        </w:rPr>
        <w:t xml:space="preserve">szczegółowych warunków zarządzania ruchem na drogach oraz wykonywania </w:t>
      </w:r>
      <w:r>
        <w:rPr>
          <w:rFonts w:ascii="Arial" w:hAnsi="Arial" w:cs="Arial"/>
        </w:rPr>
        <w:t xml:space="preserve">   </w:t>
      </w:r>
    </w:p>
    <w:p w14:paraId="11500945" w14:textId="77777777" w:rsidR="00C01A7D" w:rsidRPr="00602A32" w:rsidRDefault="00C01A7D" w:rsidP="00C01A7D">
      <w:pPr>
        <w:ind w:right="-397"/>
        <w:rPr>
          <w:rFonts w:ascii="Arial" w:hAnsi="Arial" w:cs="Arial"/>
        </w:rPr>
      </w:pPr>
      <w:r>
        <w:rPr>
          <w:rFonts w:ascii="Arial" w:hAnsi="Arial" w:cs="Arial"/>
        </w:rPr>
        <w:t xml:space="preserve">    n</w:t>
      </w:r>
      <w:r w:rsidRPr="00602A32">
        <w:rPr>
          <w:rFonts w:ascii="Arial" w:hAnsi="Arial" w:cs="Arial"/>
        </w:rPr>
        <w:t xml:space="preserve">adzoru nad tym zarządzaniem (Dz. U. </w:t>
      </w:r>
      <w:r>
        <w:rPr>
          <w:rFonts w:ascii="Arial" w:hAnsi="Arial" w:cs="Arial"/>
        </w:rPr>
        <w:t xml:space="preserve">poz. 784 </w:t>
      </w:r>
      <w:r w:rsidRPr="00602A32">
        <w:rPr>
          <w:rFonts w:ascii="Arial" w:hAnsi="Arial" w:cs="Arial"/>
        </w:rPr>
        <w:t>z 20</w:t>
      </w:r>
      <w:r>
        <w:rPr>
          <w:rFonts w:ascii="Arial" w:hAnsi="Arial" w:cs="Arial"/>
        </w:rPr>
        <w:t>17</w:t>
      </w:r>
      <w:r w:rsidRPr="00602A32">
        <w:rPr>
          <w:rFonts w:ascii="Arial" w:hAnsi="Arial" w:cs="Arial"/>
        </w:rPr>
        <w:t xml:space="preserve"> r.)</w:t>
      </w:r>
    </w:p>
    <w:p w14:paraId="4680547D" w14:textId="77777777" w:rsidR="00C01A7D" w:rsidRDefault="00C01A7D" w:rsidP="00C01A7D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ustawa z dnia 14 czerwca 1960 roku -  Kodeks postępowania administracyjnego </w:t>
      </w:r>
    </w:p>
    <w:p w14:paraId="443610A2" w14:textId="77777777" w:rsidR="00C01A7D" w:rsidRDefault="00C01A7D" w:rsidP="00C01A7D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256 z 2020 r. z późniejszymi zmianami),</w:t>
      </w:r>
    </w:p>
    <w:p w14:paraId="6928ECCB" w14:textId="77777777" w:rsidR="00C01A7D" w:rsidRDefault="00C01A7D" w:rsidP="00C01A7D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8743EA">
        <w:rPr>
          <w:rFonts w:ascii="Arial" w:hAnsi="Arial" w:cs="Arial"/>
        </w:rPr>
        <w:t>ustawa z dnia 16 listopada 2006 roku - O opłacie skarbowej (Dz. U. poz.</w:t>
      </w:r>
      <w:r>
        <w:rPr>
          <w:rFonts w:ascii="Arial" w:hAnsi="Arial" w:cs="Arial"/>
        </w:rPr>
        <w:t xml:space="preserve"> 1000 z </w:t>
      </w:r>
    </w:p>
    <w:p w14:paraId="62110EB2" w14:textId="77777777" w:rsidR="00C01A7D" w:rsidRDefault="00C01A7D" w:rsidP="00C01A7D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453E1EAD" w14:textId="77777777" w:rsidR="008C371A" w:rsidRPr="008C371A" w:rsidRDefault="008C371A" w:rsidP="003F5E4B">
      <w:pPr>
        <w:ind w:right="-340"/>
        <w:rPr>
          <w:rFonts w:ascii="Arial" w:hAnsi="Arial" w:cs="Arial"/>
        </w:rPr>
      </w:pPr>
    </w:p>
    <w:p w14:paraId="7B2BA963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550E334C" w14:textId="77777777"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CD2E006" w14:textId="77777777" w:rsidR="00A633D2" w:rsidRDefault="0047129C" w:rsidP="0029202C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przysługuje</w:t>
      </w:r>
      <w:r w:rsidR="00A633D2">
        <w:rPr>
          <w:rFonts w:ascii="Arial" w:hAnsi="Arial" w:cs="Arial"/>
        </w:rPr>
        <w:t>.</w:t>
      </w:r>
    </w:p>
    <w:p w14:paraId="60E911DB" w14:textId="77777777" w:rsidR="00CF314F" w:rsidRDefault="00CF314F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685EE9EE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1C413477" w14:textId="77777777"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0C868D61" w14:textId="77777777" w:rsidR="00275C6D" w:rsidRDefault="0047129C" w:rsidP="003F5E4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Brak.</w:t>
      </w:r>
    </w:p>
    <w:p w14:paraId="20EA750B" w14:textId="77777777" w:rsidR="0047129C" w:rsidRDefault="0047129C" w:rsidP="003F5E4B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53D377C7" w14:textId="77777777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D98E051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CE25B8A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EAE5A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415EB8FE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2A6F943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AB575BB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E723A1B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2F2C2056" w14:textId="77777777" w:rsidR="0055308A" w:rsidRDefault="00CD4AE7" w:rsidP="00CF21B2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CF21B2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146E7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F69E695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Maślińska</w:t>
            </w:r>
          </w:p>
          <w:p w14:paraId="5CBFB3B9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278659E4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9EBBA9E" w14:textId="654ED845" w:rsidR="0055308A" w:rsidRDefault="0055308A" w:rsidP="00CF21B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8F36B9">
              <w:rPr>
                <w:rFonts w:ascii="Arial" w:hAnsi="Arial"/>
                <w:lang w:val="en-US"/>
              </w:rPr>
              <w:t>0</w:t>
            </w:r>
            <w:r w:rsidR="00C01A7D">
              <w:rPr>
                <w:rFonts w:ascii="Arial" w:hAnsi="Arial"/>
                <w:lang w:val="en-US"/>
              </w:rPr>
              <w:t>3</w:t>
            </w:r>
            <w:r>
              <w:rPr>
                <w:rFonts w:ascii="Arial" w:hAnsi="Arial"/>
                <w:lang w:val="en-US"/>
              </w:rPr>
              <w:t>.</w:t>
            </w:r>
            <w:r w:rsidR="00975571">
              <w:rPr>
                <w:rFonts w:ascii="Arial" w:hAnsi="Arial"/>
                <w:lang w:val="en-US"/>
              </w:rPr>
              <w:t>0</w:t>
            </w:r>
            <w:r w:rsidR="00C01A7D">
              <w:rPr>
                <w:rFonts w:ascii="Arial" w:hAnsi="Arial"/>
                <w:lang w:val="en-US"/>
              </w:rPr>
              <w:t>6</w:t>
            </w:r>
            <w:r w:rsidR="00975571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C01A7D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13633125" w14:textId="3175C3B3" w:rsidR="0055308A" w:rsidRDefault="0055308A" w:rsidP="00CF21B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8F36B9">
              <w:rPr>
                <w:rFonts w:ascii="Arial" w:hAnsi="Arial"/>
                <w:lang w:val="en-US"/>
              </w:rPr>
              <w:t>0</w:t>
            </w:r>
            <w:r w:rsidR="00C01A7D">
              <w:rPr>
                <w:rFonts w:ascii="Arial" w:hAnsi="Arial"/>
                <w:lang w:val="en-US"/>
              </w:rPr>
              <w:t>3</w:t>
            </w:r>
            <w:r>
              <w:rPr>
                <w:rFonts w:ascii="Arial" w:hAnsi="Arial"/>
                <w:lang w:val="en-US"/>
              </w:rPr>
              <w:t>.</w:t>
            </w:r>
            <w:r w:rsidR="00975571">
              <w:rPr>
                <w:rFonts w:ascii="Arial" w:hAnsi="Arial"/>
                <w:lang w:val="en-US"/>
              </w:rPr>
              <w:t>0</w:t>
            </w:r>
            <w:r w:rsidR="00C01A7D">
              <w:rPr>
                <w:rFonts w:ascii="Arial" w:hAnsi="Arial"/>
                <w:lang w:val="en-US"/>
              </w:rPr>
              <w:t>6</w:t>
            </w:r>
            <w:r w:rsidR="00975571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C01A7D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10193" w14:textId="0F0CE548" w:rsidR="0055308A" w:rsidRDefault="0055308A" w:rsidP="00CF21B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A10092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8F36B9">
              <w:rPr>
                <w:rFonts w:ascii="Arial" w:hAnsi="Arial"/>
                <w:lang w:val="en-US"/>
              </w:rPr>
              <w:t>0</w:t>
            </w:r>
            <w:r w:rsidR="00C01A7D">
              <w:rPr>
                <w:rFonts w:ascii="Arial" w:hAnsi="Arial"/>
                <w:lang w:val="en-US"/>
              </w:rPr>
              <w:t>3</w:t>
            </w:r>
            <w:r>
              <w:rPr>
                <w:rFonts w:ascii="Arial" w:hAnsi="Arial"/>
                <w:lang w:val="en-US"/>
              </w:rPr>
              <w:t>.</w:t>
            </w:r>
            <w:r w:rsidR="00975571">
              <w:rPr>
                <w:rFonts w:ascii="Arial" w:hAnsi="Arial"/>
                <w:lang w:val="en-US"/>
              </w:rPr>
              <w:t>0</w:t>
            </w:r>
            <w:r w:rsidR="00C01A7D">
              <w:rPr>
                <w:rFonts w:ascii="Arial" w:hAnsi="Arial"/>
                <w:lang w:val="en-US"/>
              </w:rPr>
              <w:t>6</w:t>
            </w:r>
            <w:r w:rsidR="00975571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</w:t>
            </w:r>
            <w:r w:rsidR="00C01A7D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68335279" w14:textId="77777777"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A37DA" w14:textId="77777777" w:rsidR="007F7C8A" w:rsidRDefault="007F7C8A" w:rsidP="00144ACB">
      <w:r>
        <w:separator/>
      </w:r>
    </w:p>
  </w:endnote>
  <w:endnote w:type="continuationSeparator" w:id="0">
    <w:p w14:paraId="4C31DCB7" w14:textId="77777777" w:rsidR="007F7C8A" w:rsidRDefault="007F7C8A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A45D3" w14:textId="77777777" w:rsidR="007F7C8A" w:rsidRDefault="007F7C8A" w:rsidP="00144ACB">
      <w:r>
        <w:separator/>
      </w:r>
    </w:p>
  </w:footnote>
  <w:footnote w:type="continuationSeparator" w:id="0">
    <w:p w14:paraId="626DB78E" w14:textId="77777777" w:rsidR="007F7C8A" w:rsidRDefault="007F7C8A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61D42"/>
    <w:multiLevelType w:val="hybridMultilevel"/>
    <w:tmpl w:val="28ACC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76ECC"/>
    <w:multiLevelType w:val="hybridMultilevel"/>
    <w:tmpl w:val="D214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D6E02"/>
    <w:multiLevelType w:val="hybridMultilevel"/>
    <w:tmpl w:val="85CA0C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3649E"/>
    <w:multiLevelType w:val="hybridMultilevel"/>
    <w:tmpl w:val="0A140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316E3"/>
    <w:multiLevelType w:val="hybridMultilevel"/>
    <w:tmpl w:val="7BAE5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248B4"/>
    <w:multiLevelType w:val="hybridMultilevel"/>
    <w:tmpl w:val="E764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41373"/>
    <w:multiLevelType w:val="hybridMultilevel"/>
    <w:tmpl w:val="8E8C3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311F0"/>
    <w:multiLevelType w:val="hybridMultilevel"/>
    <w:tmpl w:val="ED5C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0253B"/>
    <w:multiLevelType w:val="hybridMultilevel"/>
    <w:tmpl w:val="FDF4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927CD"/>
    <w:multiLevelType w:val="hybridMultilevel"/>
    <w:tmpl w:val="E3B08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1178D"/>
    <w:multiLevelType w:val="hybridMultilevel"/>
    <w:tmpl w:val="4F225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26BB4"/>
    <w:multiLevelType w:val="hybridMultilevel"/>
    <w:tmpl w:val="505E81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23ECB"/>
    <w:multiLevelType w:val="hybridMultilevel"/>
    <w:tmpl w:val="CC427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C6041"/>
    <w:multiLevelType w:val="hybridMultilevel"/>
    <w:tmpl w:val="60643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E14EE"/>
    <w:multiLevelType w:val="hybridMultilevel"/>
    <w:tmpl w:val="46F81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23"/>
  </w:num>
  <w:num w:numId="4">
    <w:abstractNumId w:val="30"/>
  </w:num>
  <w:num w:numId="5">
    <w:abstractNumId w:val="7"/>
  </w:num>
  <w:num w:numId="6">
    <w:abstractNumId w:val="19"/>
  </w:num>
  <w:num w:numId="7">
    <w:abstractNumId w:val="16"/>
  </w:num>
  <w:num w:numId="8">
    <w:abstractNumId w:val="18"/>
  </w:num>
  <w:num w:numId="9">
    <w:abstractNumId w:val="13"/>
  </w:num>
  <w:num w:numId="10">
    <w:abstractNumId w:val="11"/>
  </w:num>
  <w:num w:numId="11">
    <w:abstractNumId w:val="8"/>
  </w:num>
  <w:num w:numId="12">
    <w:abstractNumId w:val="17"/>
  </w:num>
  <w:num w:numId="13">
    <w:abstractNumId w:val="4"/>
  </w:num>
  <w:num w:numId="14">
    <w:abstractNumId w:val="21"/>
  </w:num>
  <w:num w:numId="15">
    <w:abstractNumId w:val="25"/>
  </w:num>
  <w:num w:numId="16">
    <w:abstractNumId w:val="1"/>
  </w:num>
  <w:num w:numId="17">
    <w:abstractNumId w:val="5"/>
  </w:num>
  <w:num w:numId="18">
    <w:abstractNumId w:val="12"/>
  </w:num>
  <w:num w:numId="19">
    <w:abstractNumId w:val="24"/>
  </w:num>
  <w:num w:numId="20">
    <w:abstractNumId w:val="10"/>
  </w:num>
  <w:num w:numId="21">
    <w:abstractNumId w:val="20"/>
  </w:num>
  <w:num w:numId="22">
    <w:abstractNumId w:val="29"/>
  </w:num>
  <w:num w:numId="23">
    <w:abstractNumId w:val="3"/>
  </w:num>
  <w:num w:numId="24">
    <w:abstractNumId w:val="15"/>
  </w:num>
  <w:num w:numId="25">
    <w:abstractNumId w:val="0"/>
  </w:num>
  <w:num w:numId="26">
    <w:abstractNumId w:val="26"/>
  </w:num>
  <w:num w:numId="27">
    <w:abstractNumId w:val="27"/>
  </w:num>
  <w:num w:numId="28">
    <w:abstractNumId w:val="14"/>
  </w:num>
  <w:num w:numId="29">
    <w:abstractNumId w:val="6"/>
  </w:num>
  <w:num w:numId="30">
    <w:abstractNumId w:val="28"/>
  </w:num>
  <w:num w:numId="31">
    <w:abstractNumId w:val="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00D9B"/>
    <w:rsid w:val="00014F8E"/>
    <w:rsid w:val="0002061C"/>
    <w:rsid w:val="00021EC1"/>
    <w:rsid w:val="00023C4E"/>
    <w:rsid w:val="00027853"/>
    <w:rsid w:val="00040B5B"/>
    <w:rsid w:val="000519BC"/>
    <w:rsid w:val="00051BC6"/>
    <w:rsid w:val="00054E3C"/>
    <w:rsid w:val="000567CF"/>
    <w:rsid w:val="00075271"/>
    <w:rsid w:val="00075482"/>
    <w:rsid w:val="00081859"/>
    <w:rsid w:val="0008371E"/>
    <w:rsid w:val="00087EFE"/>
    <w:rsid w:val="000932F5"/>
    <w:rsid w:val="000974EE"/>
    <w:rsid w:val="000A4DB3"/>
    <w:rsid w:val="000B0ACC"/>
    <w:rsid w:val="000C03A5"/>
    <w:rsid w:val="000C512A"/>
    <w:rsid w:val="000D0504"/>
    <w:rsid w:val="000E0137"/>
    <w:rsid w:val="000E3473"/>
    <w:rsid w:val="000F2D65"/>
    <w:rsid w:val="000F7BAC"/>
    <w:rsid w:val="001001C7"/>
    <w:rsid w:val="00101ACE"/>
    <w:rsid w:val="0010472D"/>
    <w:rsid w:val="0011441A"/>
    <w:rsid w:val="00127BB3"/>
    <w:rsid w:val="0013528E"/>
    <w:rsid w:val="00144ACB"/>
    <w:rsid w:val="00145236"/>
    <w:rsid w:val="0015499A"/>
    <w:rsid w:val="00157C57"/>
    <w:rsid w:val="00160615"/>
    <w:rsid w:val="00160CE2"/>
    <w:rsid w:val="001612DF"/>
    <w:rsid w:val="00167DF5"/>
    <w:rsid w:val="001707B4"/>
    <w:rsid w:val="00187674"/>
    <w:rsid w:val="00190E71"/>
    <w:rsid w:val="00191C02"/>
    <w:rsid w:val="00193CF5"/>
    <w:rsid w:val="00194EEE"/>
    <w:rsid w:val="001A629F"/>
    <w:rsid w:val="001B1C87"/>
    <w:rsid w:val="001B2535"/>
    <w:rsid w:val="001B495B"/>
    <w:rsid w:val="001B4AE8"/>
    <w:rsid w:val="001B54CB"/>
    <w:rsid w:val="001B6514"/>
    <w:rsid w:val="001E279D"/>
    <w:rsid w:val="001F033D"/>
    <w:rsid w:val="002016F7"/>
    <w:rsid w:val="00204E27"/>
    <w:rsid w:val="00207C8C"/>
    <w:rsid w:val="00212AD8"/>
    <w:rsid w:val="00215F1D"/>
    <w:rsid w:val="002168F0"/>
    <w:rsid w:val="00225089"/>
    <w:rsid w:val="002345E7"/>
    <w:rsid w:val="00237463"/>
    <w:rsid w:val="00237BC4"/>
    <w:rsid w:val="00242F29"/>
    <w:rsid w:val="0024665B"/>
    <w:rsid w:val="002534A6"/>
    <w:rsid w:val="00253C07"/>
    <w:rsid w:val="0025619E"/>
    <w:rsid w:val="0025782A"/>
    <w:rsid w:val="0026532A"/>
    <w:rsid w:val="00275C6D"/>
    <w:rsid w:val="00284DE8"/>
    <w:rsid w:val="0029202C"/>
    <w:rsid w:val="0029786F"/>
    <w:rsid w:val="002A2DB8"/>
    <w:rsid w:val="002A5182"/>
    <w:rsid w:val="002A70BF"/>
    <w:rsid w:val="002B4C68"/>
    <w:rsid w:val="002B4ED0"/>
    <w:rsid w:val="002C2972"/>
    <w:rsid w:val="002D5F62"/>
    <w:rsid w:val="002D6780"/>
    <w:rsid w:val="002E0980"/>
    <w:rsid w:val="002E230D"/>
    <w:rsid w:val="002F312F"/>
    <w:rsid w:val="002F5191"/>
    <w:rsid w:val="003004C2"/>
    <w:rsid w:val="003061E7"/>
    <w:rsid w:val="00313587"/>
    <w:rsid w:val="00313C7E"/>
    <w:rsid w:val="0032736C"/>
    <w:rsid w:val="00332300"/>
    <w:rsid w:val="00346E2B"/>
    <w:rsid w:val="00353C3C"/>
    <w:rsid w:val="00354A1B"/>
    <w:rsid w:val="00371A8A"/>
    <w:rsid w:val="003731D1"/>
    <w:rsid w:val="00375AC1"/>
    <w:rsid w:val="0037739B"/>
    <w:rsid w:val="00380156"/>
    <w:rsid w:val="003852EB"/>
    <w:rsid w:val="0038694E"/>
    <w:rsid w:val="00395D9E"/>
    <w:rsid w:val="00396A86"/>
    <w:rsid w:val="00397739"/>
    <w:rsid w:val="003A14A8"/>
    <w:rsid w:val="003A2F33"/>
    <w:rsid w:val="003A473C"/>
    <w:rsid w:val="003C05B8"/>
    <w:rsid w:val="003C330E"/>
    <w:rsid w:val="003D22E5"/>
    <w:rsid w:val="003D6646"/>
    <w:rsid w:val="003D6BF4"/>
    <w:rsid w:val="003E002E"/>
    <w:rsid w:val="003E0F16"/>
    <w:rsid w:val="003E400B"/>
    <w:rsid w:val="003F5750"/>
    <w:rsid w:val="003F5E4B"/>
    <w:rsid w:val="0040125A"/>
    <w:rsid w:val="00407542"/>
    <w:rsid w:val="00423676"/>
    <w:rsid w:val="00433643"/>
    <w:rsid w:val="00444E7F"/>
    <w:rsid w:val="0044640F"/>
    <w:rsid w:val="00447E4E"/>
    <w:rsid w:val="00455624"/>
    <w:rsid w:val="00455E94"/>
    <w:rsid w:val="00456522"/>
    <w:rsid w:val="004620FB"/>
    <w:rsid w:val="00464722"/>
    <w:rsid w:val="00465539"/>
    <w:rsid w:val="00470118"/>
    <w:rsid w:val="0047129C"/>
    <w:rsid w:val="00474E4A"/>
    <w:rsid w:val="004751F7"/>
    <w:rsid w:val="00491326"/>
    <w:rsid w:val="004918A1"/>
    <w:rsid w:val="004A62EB"/>
    <w:rsid w:val="004B7FEF"/>
    <w:rsid w:val="004C3473"/>
    <w:rsid w:val="004D4635"/>
    <w:rsid w:val="004D6C00"/>
    <w:rsid w:val="004E29D9"/>
    <w:rsid w:val="004F0E9C"/>
    <w:rsid w:val="004F3D29"/>
    <w:rsid w:val="004F657F"/>
    <w:rsid w:val="004F6A65"/>
    <w:rsid w:val="0050250E"/>
    <w:rsid w:val="00506BC6"/>
    <w:rsid w:val="00511025"/>
    <w:rsid w:val="00511FA4"/>
    <w:rsid w:val="0051260C"/>
    <w:rsid w:val="00522680"/>
    <w:rsid w:val="00527F98"/>
    <w:rsid w:val="00532B8D"/>
    <w:rsid w:val="0054441E"/>
    <w:rsid w:val="0055308A"/>
    <w:rsid w:val="005546E4"/>
    <w:rsid w:val="00555C22"/>
    <w:rsid w:val="0055644C"/>
    <w:rsid w:val="005713D1"/>
    <w:rsid w:val="005717CA"/>
    <w:rsid w:val="00583168"/>
    <w:rsid w:val="00585C41"/>
    <w:rsid w:val="005873A4"/>
    <w:rsid w:val="00587D08"/>
    <w:rsid w:val="00590B2C"/>
    <w:rsid w:val="0059346A"/>
    <w:rsid w:val="00593821"/>
    <w:rsid w:val="005A0DB0"/>
    <w:rsid w:val="005B4D97"/>
    <w:rsid w:val="005B684A"/>
    <w:rsid w:val="005D514B"/>
    <w:rsid w:val="005E6A24"/>
    <w:rsid w:val="005F684B"/>
    <w:rsid w:val="005F7AC5"/>
    <w:rsid w:val="00602A32"/>
    <w:rsid w:val="006212A7"/>
    <w:rsid w:val="0062645D"/>
    <w:rsid w:val="00626A7A"/>
    <w:rsid w:val="00626E6F"/>
    <w:rsid w:val="0064225F"/>
    <w:rsid w:val="006446D6"/>
    <w:rsid w:val="0064593E"/>
    <w:rsid w:val="00655C7E"/>
    <w:rsid w:val="00656E27"/>
    <w:rsid w:val="00660DAB"/>
    <w:rsid w:val="00671E02"/>
    <w:rsid w:val="006957F4"/>
    <w:rsid w:val="006A2034"/>
    <w:rsid w:val="006A6C6A"/>
    <w:rsid w:val="006B4F21"/>
    <w:rsid w:val="006C6A36"/>
    <w:rsid w:val="006D0AE5"/>
    <w:rsid w:val="006E2557"/>
    <w:rsid w:val="006F0376"/>
    <w:rsid w:val="006F09AE"/>
    <w:rsid w:val="006F49B8"/>
    <w:rsid w:val="006F7BF3"/>
    <w:rsid w:val="0071050E"/>
    <w:rsid w:val="0071491E"/>
    <w:rsid w:val="0072120D"/>
    <w:rsid w:val="00726F53"/>
    <w:rsid w:val="00730779"/>
    <w:rsid w:val="00733CD0"/>
    <w:rsid w:val="00757766"/>
    <w:rsid w:val="00762BE5"/>
    <w:rsid w:val="00763EDF"/>
    <w:rsid w:val="00771861"/>
    <w:rsid w:val="00776638"/>
    <w:rsid w:val="00777904"/>
    <w:rsid w:val="00784023"/>
    <w:rsid w:val="00786FFA"/>
    <w:rsid w:val="007906C1"/>
    <w:rsid w:val="007913BE"/>
    <w:rsid w:val="00792A63"/>
    <w:rsid w:val="00793EB7"/>
    <w:rsid w:val="00794DBB"/>
    <w:rsid w:val="007A2493"/>
    <w:rsid w:val="007A45D0"/>
    <w:rsid w:val="007A4991"/>
    <w:rsid w:val="007C4890"/>
    <w:rsid w:val="007F3AB7"/>
    <w:rsid w:val="007F4B06"/>
    <w:rsid w:val="007F73CB"/>
    <w:rsid w:val="007F7C8A"/>
    <w:rsid w:val="008037C2"/>
    <w:rsid w:val="00804A93"/>
    <w:rsid w:val="00806442"/>
    <w:rsid w:val="00806C40"/>
    <w:rsid w:val="00814995"/>
    <w:rsid w:val="00833265"/>
    <w:rsid w:val="00842151"/>
    <w:rsid w:val="00842BF2"/>
    <w:rsid w:val="008436CA"/>
    <w:rsid w:val="00855747"/>
    <w:rsid w:val="00864282"/>
    <w:rsid w:val="008664F7"/>
    <w:rsid w:val="00867DD9"/>
    <w:rsid w:val="00875F34"/>
    <w:rsid w:val="008852E9"/>
    <w:rsid w:val="00891650"/>
    <w:rsid w:val="008918BC"/>
    <w:rsid w:val="008922E6"/>
    <w:rsid w:val="008A4364"/>
    <w:rsid w:val="008A6EFA"/>
    <w:rsid w:val="008A746F"/>
    <w:rsid w:val="008B0B6C"/>
    <w:rsid w:val="008B1A8A"/>
    <w:rsid w:val="008B3DA2"/>
    <w:rsid w:val="008B419F"/>
    <w:rsid w:val="008C371A"/>
    <w:rsid w:val="008C677C"/>
    <w:rsid w:val="008D234D"/>
    <w:rsid w:val="008D33B9"/>
    <w:rsid w:val="008E0CD6"/>
    <w:rsid w:val="008F032E"/>
    <w:rsid w:val="008F1DE8"/>
    <w:rsid w:val="008F36B9"/>
    <w:rsid w:val="0090647E"/>
    <w:rsid w:val="0091175E"/>
    <w:rsid w:val="00916CC6"/>
    <w:rsid w:val="009204F8"/>
    <w:rsid w:val="009407CB"/>
    <w:rsid w:val="00943E69"/>
    <w:rsid w:val="0094515C"/>
    <w:rsid w:val="00946CEF"/>
    <w:rsid w:val="00947737"/>
    <w:rsid w:val="00953FAB"/>
    <w:rsid w:val="0095544C"/>
    <w:rsid w:val="00975130"/>
    <w:rsid w:val="00975571"/>
    <w:rsid w:val="0098247A"/>
    <w:rsid w:val="00984139"/>
    <w:rsid w:val="009867B2"/>
    <w:rsid w:val="00995B25"/>
    <w:rsid w:val="00996225"/>
    <w:rsid w:val="009A1003"/>
    <w:rsid w:val="009A1993"/>
    <w:rsid w:val="009A39C5"/>
    <w:rsid w:val="009A5EFE"/>
    <w:rsid w:val="009B57B4"/>
    <w:rsid w:val="009B66F4"/>
    <w:rsid w:val="009C3CAB"/>
    <w:rsid w:val="009C5A66"/>
    <w:rsid w:val="009D0C23"/>
    <w:rsid w:val="009D5155"/>
    <w:rsid w:val="009E124F"/>
    <w:rsid w:val="009E4758"/>
    <w:rsid w:val="009E4CCA"/>
    <w:rsid w:val="009F0B66"/>
    <w:rsid w:val="009F2B0E"/>
    <w:rsid w:val="009F2C91"/>
    <w:rsid w:val="009F30A0"/>
    <w:rsid w:val="009F4E03"/>
    <w:rsid w:val="00A10092"/>
    <w:rsid w:val="00A14555"/>
    <w:rsid w:val="00A31B7E"/>
    <w:rsid w:val="00A50177"/>
    <w:rsid w:val="00A552D2"/>
    <w:rsid w:val="00A568A6"/>
    <w:rsid w:val="00A60A59"/>
    <w:rsid w:val="00A633D2"/>
    <w:rsid w:val="00A651EA"/>
    <w:rsid w:val="00A660E5"/>
    <w:rsid w:val="00A6649F"/>
    <w:rsid w:val="00A66B93"/>
    <w:rsid w:val="00A67356"/>
    <w:rsid w:val="00A73417"/>
    <w:rsid w:val="00A81814"/>
    <w:rsid w:val="00A83135"/>
    <w:rsid w:val="00A85B8A"/>
    <w:rsid w:val="00A9413E"/>
    <w:rsid w:val="00A97FD3"/>
    <w:rsid w:val="00AB12C7"/>
    <w:rsid w:val="00AB41D6"/>
    <w:rsid w:val="00AC2B72"/>
    <w:rsid w:val="00AD3B40"/>
    <w:rsid w:val="00AD5039"/>
    <w:rsid w:val="00AE4F73"/>
    <w:rsid w:val="00AE500E"/>
    <w:rsid w:val="00AF064A"/>
    <w:rsid w:val="00AF3C96"/>
    <w:rsid w:val="00AF7749"/>
    <w:rsid w:val="00B0739D"/>
    <w:rsid w:val="00B12884"/>
    <w:rsid w:val="00B13410"/>
    <w:rsid w:val="00B14C5E"/>
    <w:rsid w:val="00B166FD"/>
    <w:rsid w:val="00B27340"/>
    <w:rsid w:val="00B323B1"/>
    <w:rsid w:val="00B33E51"/>
    <w:rsid w:val="00B36DF7"/>
    <w:rsid w:val="00B42193"/>
    <w:rsid w:val="00B43931"/>
    <w:rsid w:val="00B46DDF"/>
    <w:rsid w:val="00B5127F"/>
    <w:rsid w:val="00B649E1"/>
    <w:rsid w:val="00B70AD3"/>
    <w:rsid w:val="00B71BDF"/>
    <w:rsid w:val="00B7498B"/>
    <w:rsid w:val="00B7673C"/>
    <w:rsid w:val="00B8170B"/>
    <w:rsid w:val="00B82CEB"/>
    <w:rsid w:val="00B831A7"/>
    <w:rsid w:val="00B84C2F"/>
    <w:rsid w:val="00B90C7C"/>
    <w:rsid w:val="00B91672"/>
    <w:rsid w:val="00BA127D"/>
    <w:rsid w:val="00BB1D76"/>
    <w:rsid w:val="00BD2265"/>
    <w:rsid w:val="00BD64F0"/>
    <w:rsid w:val="00BF2045"/>
    <w:rsid w:val="00BF35A5"/>
    <w:rsid w:val="00BF3A18"/>
    <w:rsid w:val="00BF5FF8"/>
    <w:rsid w:val="00C01A7D"/>
    <w:rsid w:val="00C10F97"/>
    <w:rsid w:val="00C12CA8"/>
    <w:rsid w:val="00C360D5"/>
    <w:rsid w:val="00C37AEE"/>
    <w:rsid w:val="00C409C7"/>
    <w:rsid w:val="00C45B9C"/>
    <w:rsid w:val="00C4705D"/>
    <w:rsid w:val="00C50989"/>
    <w:rsid w:val="00C53A76"/>
    <w:rsid w:val="00C55FCF"/>
    <w:rsid w:val="00C67BC5"/>
    <w:rsid w:val="00C74CC8"/>
    <w:rsid w:val="00C957AC"/>
    <w:rsid w:val="00C96ED1"/>
    <w:rsid w:val="00CA0AA2"/>
    <w:rsid w:val="00CA4033"/>
    <w:rsid w:val="00CA6BAB"/>
    <w:rsid w:val="00CB219F"/>
    <w:rsid w:val="00CB41D0"/>
    <w:rsid w:val="00CB6C8D"/>
    <w:rsid w:val="00CC0B01"/>
    <w:rsid w:val="00CC2A07"/>
    <w:rsid w:val="00CD3871"/>
    <w:rsid w:val="00CD4AE7"/>
    <w:rsid w:val="00CD7433"/>
    <w:rsid w:val="00CE1B11"/>
    <w:rsid w:val="00CF21B2"/>
    <w:rsid w:val="00CF314F"/>
    <w:rsid w:val="00D06AD3"/>
    <w:rsid w:val="00D073DD"/>
    <w:rsid w:val="00D07E47"/>
    <w:rsid w:val="00D20E50"/>
    <w:rsid w:val="00D321FA"/>
    <w:rsid w:val="00D5176A"/>
    <w:rsid w:val="00D81EEE"/>
    <w:rsid w:val="00D84309"/>
    <w:rsid w:val="00D874A0"/>
    <w:rsid w:val="00D914B5"/>
    <w:rsid w:val="00D94B85"/>
    <w:rsid w:val="00D94C04"/>
    <w:rsid w:val="00DA3267"/>
    <w:rsid w:val="00DA3CDD"/>
    <w:rsid w:val="00DB30D1"/>
    <w:rsid w:val="00DC26D2"/>
    <w:rsid w:val="00DC51E5"/>
    <w:rsid w:val="00DE60F1"/>
    <w:rsid w:val="00DF1E0B"/>
    <w:rsid w:val="00DF71A8"/>
    <w:rsid w:val="00E04DC6"/>
    <w:rsid w:val="00E055B3"/>
    <w:rsid w:val="00E102F4"/>
    <w:rsid w:val="00E255AF"/>
    <w:rsid w:val="00E34060"/>
    <w:rsid w:val="00E51743"/>
    <w:rsid w:val="00E529EA"/>
    <w:rsid w:val="00E76FE8"/>
    <w:rsid w:val="00E85C76"/>
    <w:rsid w:val="00E87173"/>
    <w:rsid w:val="00E92436"/>
    <w:rsid w:val="00E938D0"/>
    <w:rsid w:val="00E94202"/>
    <w:rsid w:val="00E96199"/>
    <w:rsid w:val="00EA2093"/>
    <w:rsid w:val="00EA64C9"/>
    <w:rsid w:val="00EB0388"/>
    <w:rsid w:val="00EB4344"/>
    <w:rsid w:val="00EB6E43"/>
    <w:rsid w:val="00EB790A"/>
    <w:rsid w:val="00EC1190"/>
    <w:rsid w:val="00ED4CCF"/>
    <w:rsid w:val="00EE5545"/>
    <w:rsid w:val="00EE64CA"/>
    <w:rsid w:val="00EF2F83"/>
    <w:rsid w:val="00EF3BBE"/>
    <w:rsid w:val="00EF4A47"/>
    <w:rsid w:val="00EF5A8A"/>
    <w:rsid w:val="00F04AC8"/>
    <w:rsid w:val="00F32E2C"/>
    <w:rsid w:val="00F37120"/>
    <w:rsid w:val="00F37E93"/>
    <w:rsid w:val="00F4029C"/>
    <w:rsid w:val="00F4654C"/>
    <w:rsid w:val="00F51762"/>
    <w:rsid w:val="00F51A37"/>
    <w:rsid w:val="00F716E0"/>
    <w:rsid w:val="00F72477"/>
    <w:rsid w:val="00F763B8"/>
    <w:rsid w:val="00F771DB"/>
    <w:rsid w:val="00F85EEF"/>
    <w:rsid w:val="00F96368"/>
    <w:rsid w:val="00FB652B"/>
    <w:rsid w:val="00FC3D1B"/>
    <w:rsid w:val="00FC6ACC"/>
    <w:rsid w:val="00FC7626"/>
    <w:rsid w:val="00FE0636"/>
    <w:rsid w:val="00FE1145"/>
    <w:rsid w:val="00FE1A54"/>
    <w:rsid w:val="00FE71CE"/>
    <w:rsid w:val="00FF0319"/>
    <w:rsid w:val="00FF0811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5D86"/>
  <w15:docId w15:val="{03001720-2B2E-4A92-B788-070CF5F4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E47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2A087-3FFA-45E1-AD09-C797C320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25</cp:revision>
  <cp:lastPrinted>2011-03-15T10:16:00Z</cp:lastPrinted>
  <dcterms:created xsi:type="dcterms:W3CDTF">2012-05-04T08:31:00Z</dcterms:created>
  <dcterms:modified xsi:type="dcterms:W3CDTF">2020-06-03T10:47:00Z</dcterms:modified>
</cp:coreProperties>
</file>