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9B" w:rsidRPr="0057349B" w:rsidRDefault="0057349B" w:rsidP="0057349B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083A63" w:rsidTr="0057349B">
        <w:trPr>
          <w:trHeight w:hRule="exact" w:val="2581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83A63" w:rsidRDefault="007701B7" w:rsidP="00083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43425" cy="1028700"/>
                  <wp:effectExtent l="19050" t="0" r="9525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A63" w:rsidRDefault="00083A63" w:rsidP="007215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3A63" w:rsidRPr="006A4F95" w:rsidRDefault="00E447D4" w:rsidP="001156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F95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276823">
              <w:rPr>
                <w:rFonts w:ascii="Arial" w:hAnsi="Arial" w:cs="Arial"/>
                <w:sz w:val="18"/>
                <w:szCs w:val="18"/>
              </w:rPr>
              <w:t>Inwestycji</w:t>
            </w:r>
            <w:r w:rsidR="00154F7C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="00B8338C" w:rsidRPr="006A4F95">
              <w:rPr>
                <w:rFonts w:ascii="Arial" w:hAnsi="Arial" w:cs="Arial"/>
                <w:sz w:val="18"/>
                <w:szCs w:val="18"/>
              </w:rPr>
              <w:t>Gospodarki</w:t>
            </w:r>
            <w:r w:rsidR="00B8338C" w:rsidRPr="006A4F95">
              <w:rPr>
                <w:rFonts w:ascii="Arial" w:hAnsi="Arial" w:cs="Arial"/>
                <w:sz w:val="18"/>
                <w:szCs w:val="18"/>
              </w:rPr>
              <w:br/>
              <w:t>Nieruchomościami</w:t>
            </w:r>
          </w:p>
        </w:tc>
      </w:tr>
      <w:tr w:rsidR="00083A63" w:rsidTr="0057349B">
        <w:trPr>
          <w:trHeight w:val="1120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A63" w:rsidRDefault="00B8338C" w:rsidP="0077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701B7">
              <w:rPr>
                <w:rFonts w:ascii="Arial" w:hAnsi="Arial" w:cs="Arial"/>
              </w:rPr>
              <w:t>wrot wywłaszczonych nieruchomości lub ich części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3A63" w:rsidRPr="006A4F95" w:rsidRDefault="00A21C93" w:rsidP="001156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</w:t>
            </w:r>
          </w:p>
        </w:tc>
      </w:tr>
    </w:tbl>
    <w:p w:rsidR="00A40519" w:rsidRDefault="00A40519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7EDE" w:rsidRPr="006A4F95" w:rsidRDefault="00037EDE" w:rsidP="00CC582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6A4F95" w:rsidRPr="006A4F95" w:rsidRDefault="00037EDE" w:rsidP="007701B7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Wniosek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Pr="006A4F95">
        <w:rPr>
          <w:rFonts w:ascii="Arial" w:hAnsi="Arial" w:cs="Arial"/>
          <w:sz w:val="24"/>
          <w:szCs w:val="24"/>
        </w:rPr>
        <w:t>zwrot złożony przez poprzedniego właściciela</w:t>
      </w:r>
      <w:r w:rsidR="007701B7">
        <w:rPr>
          <w:rFonts w:ascii="Arial" w:hAnsi="Arial" w:cs="Arial"/>
          <w:sz w:val="24"/>
          <w:szCs w:val="24"/>
        </w:rPr>
        <w:t xml:space="preserve"> (wszystkich współwłaścicieli) </w:t>
      </w:r>
      <w:r w:rsidRPr="006A4F95">
        <w:rPr>
          <w:rFonts w:ascii="Arial" w:hAnsi="Arial" w:cs="Arial"/>
          <w:sz w:val="24"/>
          <w:szCs w:val="24"/>
        </w:rPr>
        <w:t xml:space="preserve">lub wszystkich spadkobierców. </w:t>
      </w:r>
    </w:p>
    <w:p w:rsidR="00C605E1" w:rsidRPr="00C605E1" w:rsidRDefault="00037EDE" w:rsidP="00C605E1">
      <w:pPr>
        <w:pStyle w:val="Bezodstpw"/>
        <w:jc w:val="both"/>
        <w:rPr>
          <w:rFonts w:ascii="Arial" w:hAnsi="Arial" w:cs="Arial"/>
          <w:i/>
          <w:color w:val="00B0F0"/>
        </w:rPr>
      </w:pPr>
      <w:r w:rsidRPr="006A4F95">
        <w:rPr>
          <w:rFonts w:ascii="Arial" w:hAnsi="Arial" w:cs="Arial"/>
          <w:sz w:val="24"/>
          <w:szCs w:val="24"/>
        </w:rPr>
        <w:t xml:space="preserve">Wniosek </w:t>
      </w:r>
      <w:r w:rsidR="007701B7">
        <w:rPr>
          <w:rFonts w:ascii="Arial" w:hAnsi="Arial" w:cs="Arial"/>
          <w:sz w:val="24"/>
          <w:szCs w:val="24"/>
        </w:rPr>
        <w:t>po</w:t>
      </w:r>
      <w:r w:rsidRPr="006A4F95">
        <w:rPr>
          <w:rFonts w:ascii="Arial" w:hAnsi="Arial" w:cs="Arial"/>
          <w:sz w:val="24"/>
          <w:szCs w:val="24"/>
        </w:rPr>
        <w:t xml:space="preserve">winien zawierać dokładne </w:t>
      </w:r>
      <w:r w:rsidR="00ED3D6E">
        <w:rPr>
          <w:rFonts w:ascii="Arial" w:hAnsi="Arial" w:cs="Arial"/>
          <w:sz w:val="24"/>
          <w:szCs w:val="24"/>
        </w:rPr>
        <w:t xml:space="preserve">aktualne </w:t>
      </w:r>
      <w:r w:rsidRPr="006A4F95">
        <w:rPr>
          <w:rFonts w:ascii="Arial" w:hAnsi="Arial" w:cs="Arial"/>
          <w:sz w:val="24"/>
          <w:szCs w:val="24"/>
        </w:rPr>
        <w:t>dane nieruchomości - adres oraz oznaczenie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Pr="006A4F95">
        <w:rPr>
          <w:rFonts w:ascii="Arial" w:hAnsi="Arial" w:cs="Arial"/>
          <w:sz w:val="24"/>
          <w:szCs w:val="24"/>
        </w:rPr>
        <w:t xml:space="preserve">ewidencji gruntów (gmina, obręb ewidencyjny, numer ewidencyjny działki), </w:t>
      </w:r>
      <w:r w:rsidR="00AD467B" w:rsidRPr="006A4F95">
        <w:rPr>
          <w:rFonts w:ascii="Arial" w:hAnsi="Arial" w:cs="Arial"/>
          <w:sz w:val="24"/>
          <w:szCs w:val="24"/>
        </w:rPr>
        <w:t xml:space="preserve">oraz </w:t>
      </w:r>
      <w:r w:rsidRPr="006A4F95">
        <w:rPr>
          <w:rFonts w:ascii="Arial" w:hAnsi="Arial" w:cs="Arial"/>
          <w:sz w:val="24"/>
          <w:szCs w:val="24"/>
        </w:rPr>
        <w:t>dane wnioskodawcy (imię, nazwisko, dokładny adres</w:t>
      </w:r>
      <w:r w:rsidR="006704B8" w:rsidRPr="006A4F95">
        <w:rPr>
          <w:rFonts w:ascii="Arial" w:hAnsi="Arial" w:cs="Arial"/>
          <w:sz w:val="24"/>
          <w:szCs w:val="24"/>
        </w:rPr>
        <w:t>, telefon kontaktowy</w:t>
      </w:r>
      <w:r w:rsidRPr="006A4F95">
        <w:rPr>
          <w:rFonts w:ascii="Arial" w:hAnsi="Arial" w:cs="Arial"/>
          <w:sz w:val="24"/>
          <w:szCs w:val="24"/>
        </w:rPr>
        <w:t xml:space="preserve">). </w:t>
      </w:r>
      <w:bookmarkStart w:id="0" w:name="_GoBack"/>
      <w:bookmarkEnd w:id="0"/>
      <w:r w:rsidR="00C605E1" w:rsidRPr="00C605E1">
        <w:rPr>
          <w:rFonts w:ascii="Arial" w:hAnsi="Arial" w:cs="Arial"/>
          <w:i/>
          <w:color w:val="00B0F0"/>
        </w:rPr>
        <w:t>( druk wniosku do pobrania ).</w:t>
      </w:r>
    </w:p>
    <w:p w:rsidR="006A4F95" w:rsidRDefault="006A4F95" w:rsidP="00770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701B7" w:rsidRPr="006A4F95" w:rsidRDefault="007701B7" w:rsidP="006A4F95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701B7" w:rsidRDefault="007701B7" w:rsidP="007701B7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7701B7" w:rsidRDefault="006A4F95" w:rsidP="007701B7">
      <w:pPr>
        <w:pStyle w:val="Bezodstpw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O</w:t>
      </w:r>
      <w:r w:rsidR="00037EDE" w:rsidRPr="006A4F95">
        <w:rPr>
          <w:rFonts w:ascii="Arial" w:hAnsi="Arial" w:cs="Arial"/>
          <w:sz w:val="24"/>
          <w:szCs w:val="24"/>
        </w:rPr>
        <w:t>świadczenie wszystkich współwłaścicieli lub ich spadkobierców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="00037EDE" w:rsidRPr="006A4F95">
        <w:rPr>
          <w:rFonts w:ascii="Arial" w:hAnsi="Arial" w:cs="Arial"/>
          <w:sz w:val="24"/>
          <w:szCs w:val="24"/>
        </w:rPr>
        <w:t>przyłączeniu się</w:t>
      </w:r>
      <w:r w:rsidR="00154F7C">
        <w:rPr>
          <w:rFonts w:ascii="Arial" w:hAnsi="Arial" w:cs="Arial"/>
          <w:sz w:val="24"/>
          <w:szCs w:val="24"/>
        </w:rPr>
        <w:t xml:space="preserve"> do </w:t>
      </w:r>
      <w:r w:rsidR="00037EDE" w:rsidRPr="006A4F95">
        <w:rPr>
          <w:rFonts w:ascii="Arial" w:hAnsi="Arial" w:cs="Arial"/>
          <w:sz w:val="24"/>
          <w:szCs w:val="24"/>
        </w:rPr>
        <w:t>wniosku</w:t>
      </w:r>
      <w:r w:rsidR="007701B7">
        <w:rPr>
          <w:rFonts w:ascii="Arial" w:hAnsi="Arial" w:cs="Arial"/>
          <w:sz w:val="24"/>
          <w:szCs w:val="24"/>
        </w:rPr>
        <w:t xml:space="preserve"> </w:t>
      </w:r>
      <w:r w:rsidR="00154F7C">
        <w:rPr>
          <w:rFonts w:ascii="Arial" w:hAnsi="Arial" w:cs="Arial"/>
          <w:sz w:val="24"/>
          <w:szCs w:val="24"/>
        </w:rPr>
        <w:t>o </w:t>
      </w:r>
      <w:r w:rsidR="00037EDE" w:rsidRPr="006A4F95">
        <w:rPr>
          <w:rFonts w:ascii="Arial" w:hAnsi="Arial" w:cs="Arial"/>
          <w:sz w:val="24"/>
          <w:szCs w:val="24"/>
        </w:rPr>
        <w:t>zwrot lub umowne upoważnienie jednego lub kilku współwłaścicieli</w:t>
      </w:r>
      <w:r w:rsidR="00154F7C">
        <w:rPr>
          <w:rFonts w:ascii="Arial" w:hAnsi="Arial" w:cs="Arial"/>
          <w:sz w:val="24"/>
          <w:szCs w:val="24"/>
        </w:rPr>
        <w:t xml:space="preserve"> do </w:t>
      </w:r>
      <w:r w:rsidR="00037EDE" w:rsidRPr="006A4F95">
        <w:rPr>
          <w:rFonts w:ascii="Arial" w:hAnsi="Arial" w:cs="Arial"/>
          <w:sz w:val="24"/>
          <w:szCs w:val="24"/>
        </w:rPr>
        <w:t>dochodzenia zwrotu nieruchomości.</w:t>
      </w:r>
      <w:r w:rsidR="00CC63A9" w:rsidRPr="006A4F95">
        <w:rPr>
          <w:rFonts w:ascii="Arial" w:hAnsi="Arial" w:cs="Arial"/>
          <w:sz w:val="24"/>
          <w:szCs w:val="24"/>
        </w:rPr>
        <w:t xml:space="preserve"> </w:t>
      </w:r>
    </w:p>
    <w:p w:rsidR="00037EDE" w:rsidRDefault="00154F7C" w:rsidP="007701B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W </w:t>
      </w:r>
      <w:r w:rsidR="00037EDE" w:rsidRPr="007701B7">
        <w:rPr>
          <w:rFonts w:ascii="Arial" w:hAnsi="Arial" w:cs="Arial"/>
          <w:sz w:val="24"/>
          <w:szCs w:val="24"/>
        </w:rPr>
        <w:t>sytuacji, gdy nie wszyscy współwłaściciele wyrażają zgodę</w:t>
      </w:r>
      <w:r w:rsidR="00CC63A9" w:rsidRPr="007701B7">
        <w:rPr>
          <w:rFonts w:ascii="Arial" w:hAnsi="Arial" w:cs="Arial"/>
          <w:sz w:val="24"/>
          <w:szCs w:val="24"/>
        </w:rPr>
        <w:t xml:space="preserve"> na </w:t>
      </w:r>
      <w:r w:rsidR="00037EDE" w:rsidRPr="007701B7">
        <w:rPr>
          <w:rFonts w:ascii="Arial" w:hAnsi="Arial" w:cs="Arial"/>
          <w:sz w:val="24"/>
          <w:szCs w:val="24"/>
        </w:rPr>
        <w:t>zwrot nieruchomości, współwłaściciele, którzy mieli przed wywłaszczeniem co najmniej połowę udziału</w:t>
      </w:r>
      <w:r w:rsidRPr="007701B7">
        <w:rPr>
          <w:rFonts w:ascii="Arial" w:hAnsi="Arial" w:cs="Arial"/>
          <w:sz w:val="24"/>
          <w:szCs w:val="24"/>
        </w:rPr>
        <w:t xml:space="preserve"> we </w:t>
      </w:r>
      <w:r w:rsidR="00037EDE" w:rsidRPr="007701B7">
        <w:rPr>
          <w:rFonts w:ascii="Arial" w:hAnsi="Arial" w:cs="Arial"/>
          <w:sz w:val="24"/>
          <w:szCs w:val="24"/>
        </w:rPr>
        <w:t>współwłasności nieruchomości mogą żądać</w:t>
      </w:r>
      <w:r w:rsidR="00CC63A9" w:rsidRPr="007701B7">
        <w:rPr>
          <w:rFonts w:ascii="Arial" w:hAnsi="Arial" w:cs="Arial"/>
          <w:sz w:val="24"/>
          <w:szCs w:val="24"/>
        </w:rPr>
        <w:t xml:space="preserve"> na </w:t>
      </w:r>
      <w:r w:rsidR="00037EDE" w:rsidRPr="007701B7">
        <w:rPr>
          <w:rFonts w:ascii="Arial" w:hAnsi="Arial" w:cs="Arial"/>
          <w:sz w:val="24"/>
          <w:szCs w:val="24"/>
        </w:rPr>
        <w:t>podstawie art. 199 k.c. wydania przez sąd orzeczenia zastępującego oświadczenia woli współwłaścicieli, niewyrażających zgody</w:t>
      </w:r>
      <w:r w:rsidR="00CC63A9" w:rsidRPr="007701B7">
        <w:rPr>
          <w:rFonts w:ascii="Arial" w:hAnsi="Arial" w:cs="Arial"/>
          <w:sz w:val="24"/>
          <w:szCs w:val="24"/>
        </w:rPr>
        <w:t xml:space="preserve"> na </w:t>
      </w:r>
      <w:r w:rsidR="00037EDE" w:rsidRPr="007701B7">
        <w:rPr>
          <w:rFonts w:ascii="Arial" w:hAnsi="Arial" w:cs="Arial"/>
          <w:sz w:val="24"/>
          <w:szCs w:val="24"/>
        </w:rPr>
        <w:t>zwro</w:t>
      </w:r>
      <w:r w:rsidR="006A4F95" w:rsidRPr="007701B7">
        <w:rPr>
          <w:rFonts w:ascii="Arial" w:hAnsi="Arial" w:cs="Arial"/>
          <w:sz w:val="24"/>
          <w:szCs w:val="24"/>
        </w:rPr>
        <w:t>t nieruchomości, nieruchomości.</w:t>
      </w:r>
    </w:p>
    <w:p w:rsidR="00154F7C" w:rsidRDefault="006A4F95" w:rsidP="007701B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P</w:t>
      </w:r>
      <w:r w:rsidR="00037EDE" w:rsidRPr="007701B7">
        <w:rPr>
          <w:rFonts w:ascii="Arial" w:hAnsi="Arial" w:cs="Arial"/>
          <w:sz w:val="24"/>
          <w:szCs w:val="24"/>
        </w:rPr>
        <w:t>ostanowienie</w:t>
      </w:r>
      <w:r w:rsidR="00154F7C" w:rsidRPr="007701B7">
        <w:rPr>
          <w:rFonts w:ascii="Arial" w:hAnsi="Arial" w:cs="Arial"/>
          <w:sz w:val="24"/>
          <w:szCs w:val="24"/>
        </w:rPr>
        <w:t xml:space="preserve"> o </w:t>
      </w:r>
      <w:r w:rsidR="00037EDE" w:rsidRPr="007701B7">
        <w:rPr>
          <w:rFonts w:ascii="Arial" w:hAnsi="Arial" w:cs="Arial"/>
          <w:sz w:val="24"/>
          <w:szCs w:val="24"/>
        </w:rPr>
        <w:t>nabyciu praw</w:t>
      </w:r>
      <w:r w:rsidR="00154F7C" w:rsidRPr="007701B7">
        <w:rPr>
          <w:rFonts w:ascii="Arial" w:hAnsi="Arial" w:cs="Arial"/>
          <w:sz w:val="24"/>
          <w:szCs w:val="24"/>
        </w:rPr>
        <w:t xml:space="preserve"> do </w:t>
      </w:r>
      <w:r w:rsidR="00037EDE" w:rsidRPr="007701B7">
        <w:rPr>
          <w:rFonts w:ascii="Arial" w:hAnsi="Arial" w:cs="Arial"/>
          <w:sz w:val="24"/>
          <w:szCs w:val="24"/>
        </w:rPr>
        <w:t>spadku</w:t>
      </w:r>
      <w:r w:rsidR="00CC63A9" w:rsidRPr="007701B7">
        <w:rPr>
          <w:rFonts w:ascii="Arial" w:hAnsi="Arial" w:cs="Arial"/>
          <w:sz w:val="24"/>
          <w:szCs w:val="24"/>
        </w:rPr>
        <w:t xml:space="preserve"> po </w:t>
      </w:r>
      <w:r w:rsidR="00037EDE" w:rsidRPr="007701B7">
        <w:rPr>
          <w:rFonts w:ascii="Arial" w:hAnsi="Arial" w:cs="Arial"/>
          <w:sz w:val="24"/>
          <w:szCs w:val="24"/>
        </w:rPr>
        <w:t>poprzednim</w:t>
      </w:r>
      <w:r w:rsidR="00766E4B" w:rsidRPr="007701B7">
        <w:rPr>
          <w:rFonts w:ascii="Arial" w:hAnsi="Arial" w:cs="Arial"/>
          <w:sz w:val="24"/>
          <w:szCs w:val="24"/>
        </w:rPr>
        <w:t>(</w:t>
      </w:r>
      <w:r w:rsidR="00037EDE" w:rsidRPr="007701B7">
        <w:rPr>
          <w:rFonts w:ascii="Arial" w:hAnsi="Arial" w:cs="Arial"/>
          <w:sz w:val="24"/>
          <w:szCs w:val="24"/>
        </w:rPr>
        <w:t>ych) właścicielu(ach) wywłaszczonej nieruchomości</w:t>
      </w:r>
      <w:r w:rsidR="00154F7C" w:rsidRPr="007701B7">
        <w:rPr>
          <w:rFonts w:ascii="Arial" w:hAnsi="Arial" w:cs="Arial"/>
          <w:sz w:val="24"/>
          <w:szCs w:val="24"/>
        </w:rPr>
        <w:t>.</w:t>
      </w:r>
      <w:r w:rsidR="00037EDE" w:rsidRPr="007701B7">
        <w:rPr>
          <w:rFonts w:ascii="Arial" w:hAnsi="Arial" w:cs="Arial"/>
          <w:sz w:val="24"/>
          <w:szCs w:val="24"/>
        </w:rPr>
        <w:t xml:space="preserve"> </w:t>
      </w:r>
    </w:p>
    <w:p w:rsidR="006A4F95" w:rsidRDefault="00154F7C" w:rsidP="007701B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D</w:t>
      </w:r>
      <w:r w:rsidR="00037EDE" w:rsidRPr="007701B7">
        <w:rPr>
          <w:rFonts w:ascii="Arial" w:hAnsi="Arial" w:cs="Arial"/>
          <w:sz w:val="24"/>
          <w:szCs w:val="24"/>
        </w:rPr>
        <w:t>ecyzja administracyjna</w:t>
      </w:r>
      <w:r w:rsidRPr="007701B7">
        <w:rPr>
          <w:rFonts w:ascii="Arial" w:hAnsi="Arial" w:cs="Arial"/>
          <w:sz w:val="24"/>
          <w:szCs w:val="24"/>
        </w:rPr>
        <w:t xml:space="preserve"> o </w:t>
      </w:r>
      <w:r w:rsidR="00037EDE" w:rsidRPr="007701B7">
        <w:rPr>
          <w:rFonts w:ascii="Arial" w:hAnsi="Arial" w:cs="Arial"/>
          <w:sz w:val="24"/>
          <w:szCs w:val="24"/>
        </w:rPr>
        <w:t>wywłaszczeniu nieruchomości, albo umowa zbycia nieruchomości</w:t>
      </w:r>
      <w:r w:rsidRPr="007701B7">
        <w:rPr>
          <w:rFonts w:ascii="Arial" w:hAnsi="Arial" w:cs="Arial"/>
          <w:sz w:val="24"/>
          <w:szCs w:val="24"/>
        </w:rPr>
        <w:t xml:space="preserve"> </w:t>
      </w:r>
      <w:r w:rsidR="00ED3D6E" w:rsidRPr="007701B7">
        <w:rPr>
          <w:rFonts w:ascii="Arial" w:hAnsi="Arial" w:cs="Arial"/>
          <w:sz w:val="24"/>
          <w:szCs w:val="24"/>
        </w:rPr>
        <w:t xml:space="preserve">zawarta </w:t>
      </w:r>
      <w:r w:rsidRPr="007701B7">
        <w:rPr>
          <w:rFonts w:ascii="Arial" w:hAnsi="Arial" w:cs="Arial"/>
          <w:sz w:val="24"/>
          <w:szCs w:val="24"/>
        </w:rPr>
        <w:t>w </w:t>
      </w:r>
      <w:r w:rsidR="00037EDE" w:rsidRPr="007701B7">
        <w:rPr>
          <w:rFonts w:ascii="Arial" w:hAnsi="Arial" w:cs="Arial"/>
          <w:sz w:val="24"/>
          <w:szCs w:val="24"/>
        </w:rPr>
        <w:t>trybie ustaw wymienionych</w:t>
      </w:r>
      <w:r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 xml:space="preserve">art. 216 ust. </w:t>
      </w:r>
      <w:r w:rsidR="00ED3D6E" w:rsidRPr="007701B7">
        <w:rPr>
          <w:rFonts w:ascii="Arial" w:hAnsi="Arial" w:cs="Arial"/>
          <w:sz w:val="24"/>
          <w:szCs w:val="24"/>
        </w:rPr>
        <w:t xml:space="preserve">1 i ust. </w:t>
      </w:r>
      <w:r w:rsidR="00037EDE" w:rsidRPr="007701B7">
        <w:rPr>
          <w:rFonts w:ascii="Arial" w:hAnsi="Arial" w:cs="Arial"/>
          <w:sz w:val="24"/>
          <w:szCs w:val="24"/>
        </w:rPr>
        <w:t>2 ustawy</w:t>
      </w:r>
      <w:r w:rsidRPr="007701B7">
        <w:rPr>
          <w:rFonts w:ascii="Arial" w:hAnsi="Arial" w:cs="Arial"/>
          <w:sz w:val="24"/>
          <w:szCs w:val="24"/>
        </w:rPr>
        <w:t xml:space="preserve"> o </w:t>
      </w:r>
      <w:r w:rsidR="006A4F95" w:rsidRPr="007701B7">
        <w:rPr>
          <w:rFonts w:ascii="Arial" w:hAnsi="Arial" w:cs="Arial"/>
          <w:sz w:val="24"/>
          <w:szCs w:val="24"/>
        </w:rPr>
        <w:t>gospodarce nieruchomościami</w:t>
      </w:r>
      <w:r w:rsidR="007701B7">
        <w:rPr>
          <w:rFonts w:ascii="Arial" w:hAnsi="Arial" w:cs="Arial"/>
          <w:sz w:val="24"/>
          <w:szCs w:val="24"/>
        </w:rPr>
        <w:t>.</w:t>
      </w:r>
    </w:p>
    <w:p w:rsidR="00037EDE" w:rsidRPr="007701B7" w:rsidRDefault="00ED3D6E" w:rsidP="007701B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F</w:t>
      </w:r>
      <w:r w:rsidR="00037EDE" w:rsidRPr="007701B7">
        <w:rPr>
          <w:rFonts w:ascii="Arial" w:hAnsi="Arial" w:cs="Arial"/>
          <w:sz w:val="24"/>
          <w:szCs w:val="24"/>
        </w:rPr>
        <w:t>ragment mapy ewidencyjnej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zaznaczoną nieruchomością będącą przedmiotem wniosku oraz wypis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rejestru gruntów albo mapa stanu prawnego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historią nieruchomości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>przypadku zmiany oznaczenia nieruchomości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>stosunku</w:t>
      </w:r>
      <w:r w:rsidR="00154F7C" w:rsidRPr="007701B7">
        <w:rPr>
          <w:rFonts w:ascii="Arial" w:hAnsi="Arial" w:cs="Arial"/>
          <w:sz w:val="24"/>
          <w:szCs w:val="24"/>
        </w:rPr>
        <w:t xml:space="preserve"> do </w:t>
      </w:r>
      <w:r w:rsidR="00037EDE" w:rsidRPr="007701B7">
        <w:rPr>
          <w:rFonts w:ascii="Arial" w:hAnsi="Arial" w:cs="Arial"/>
          <w:sz w:val="24"/>
          <w:szCs w:val="24"/>
        </w:rPr>
        <w:t>jej oznaczenia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 xml:space="preserve">dacie wywłaszczenia. </w:t>
      </w:r>
    </w:p>
    <w:p w:rsidR="00B8338C" w:rsidRPr="006A4F95" w:rsidRDefault="00B8338C" w:rsidP="006A4F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7EDE" w:rsidRPr="006A4F95" w:rsidRDefault="00037EDE" w:rsidP="00B833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MIEJSCE </w:t>
      </w:r>
      <w:r w:rsidR="007A225A"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ZŁOŻENIA 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>DOKUMENT</w:t>
      </w:r>
      <w:r w:rsidR="007A225A" w:rsidRPr="006A4F95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B8338C" w:rsidRPr="006A4F95" w:rsidRDefault="00B8338C" w:rsidP="00B83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A2" w:rsidRDefault="00037EDE" w:rsidP="00B8338C">
      <w:pPr>
        <w:spacing w:after="0" w:line="240" w:lineRule="auto"/>
        <w:rPr>
          <w:rFonts w:ascii="Arial" w:hAnsi="Arial" w:cs="Arial"/>
        </w:rPr>
      </w:pPr>
      <w:r w:rsidRPr="007701B7">
        <w:rPr>
          <w:rFonts w:ascii="Arial" w:hAnsi="Arial" w:cs="Arial"/>
        </w:rPr>
        <w:t>Starostwo Powiatowe</w:t>
      </w:r>
      <w:r w:rsidR="00154F7C" w:rsidRPr="007701B7">
        <w:rPr>
          <w:rFonts w:ascii="Arial" w:hAnsi="Arial" w:cs="Arial"/>
        </w:rPr>
        <w:t xml:space="preserve"> w </w:t>
      </w:r>
      <w:r w:rsidRPr="007701B7">
        <w:rPr>
          <w:rFonts w:ascii="Arial" w:hAnsi="Arial" w:cs="Arial"/>
        </w:rPr>
        <w:t>Koszalinie, 75-620 Koszalin, ul. Racławicka 13</w:t>
      </w:r>
      <w:r w:rsidR="00154F7C" w:rsidRPr="007701B7">
        <w:rPr>
          <w:rFonts w:ascii="Arial" w:hAnsi="Arial" w:cs="Arial"/>
        </w:rPr>
        <w:t xml:space="preserve"> </w:t>
      </w:r>
      <w:r w:rsidR="00766E4B" w:rsidRPr="007701B7">
        <w:rPr>
          <w:rFonts w:ascii="Arial" w:hAnsi="Arial" w:cs="Arial"/>
        </w:rPr>
        <w:t>Kancelaria Ogólna</w:t>
      </w:r>
      <w:r w:rsidR="007701B7" w:rsidRPr="007701B7">
        <w:rPr>
          <w:rFonts w:ascii="Arial" w:hAnsi="Arial" w:cs="Arial"/>
        </w:rPr>
        <w:t>.</w:t>
      </w:r>
    </w:p>
    <w:p w:rsidR="004A4340" w:rsidRDefault="004A4340" w:rsidP="00B8338C">
      <w:pPr>
        <w:spacing w:after="0" w:line="240" w:lineRule="auto"/>
        <w:rPr>
          <w:rFonts w:ascii="Arial" w:hAnsi="Arial" w:cs="Arial"/>
        </w:rPr>
      </w:pPr>
    </w:p>
    <w:p w:rsidR="007701B7" w:rsidRPr="007701B7" w:rsidRDefault="007701B7" w:rsidP="004A4340">
      <w:pPr>
        <w:spacing w:after="0" w:line="240" w:lineRule="auto"/>
        <w:jc w:val="both"/>
        <w:rPr>
          <w:rFonts w:ascii="Arial" w:hAnsi="Arial" w:cs="Arial"/>
        </w:rPr>
      </w:pPr>
      <w:r w:rsidRPr="0052255F">
        <w:rPr>
          <w:rFonts w:ascii="Arial" w:hAnsi="Arial" w:cs="Arial"/>
          <w:sz w:val="24"/>
          <w:szCs w:val="24"/>
        </w:rPr>
        <w:t>Dodatkowe</w:t>
      </w:r>
      <w:r w:rsidR="00276823">
        <w:rPr>
          <w:rFonts w:ascii="Arial" w:hAnsi="Arial" w:cs="Arial"/>
          <w:sz w:val="24"/>
          <w:szCs w:val="24"/>
        </w:rPr>
        <w:t xml:space="preserve"> informacje – Wydział Inwestycji</w:t>
      </w:r>
      <w:r w:rsidRPr="0052255F">
        <w:rPr>
          <w:rFonts w:ascii="Arial" w:hAnsi="Arial" w:cs="Arial"/>
          <w:sz w:val="24"/>
          <w:szCs w:val="24"/>
        </w:rPr>
        <w:t xml:space="preserve"> i Gospodarki Nieruchomościami </w:t>
      </w:r>
      <w:r>
        <w:rPr>
          <w:rFonts w:ascii="Arial" w:hAnsi="Arial" w:cs="Arial"/>
          <w:sz w:val="24"/>
          <w:szCs w:val="24"/>
        </w:rPr>
        <w:br/>
      </w:r>
      <w:r w:rsidR="00B530D7">
        <w:rPr>
          <w:rFonts w:ascii="Arial" w:hAnsi="Arial" w:cs="Arial"/>
          <w:sz w:val="24"/>
          <w:szCs w:val="24"/>
        </w:rPr>
        <w:t>III piętro, pok. n</w:t>
      </w:r>
      <w:r w:rsidRPr="0052255F">
        <w:rPr>
          <w:rFonts w:ascii="Arial" w:hAnsi="Arial" w:cs="Arial"/>
          <w:sz w:val="24"/>
          <w:szCs w:val="24"/>
        </w:rPr>
        <w:t>r 323 i nr 322, telefony: (94) 714 02 48 i (94) 714 02 49.</w:t>
      </w:r>
    </w:p>
    <w:p w:rsidR="007701B7" w:rsidRDefault="007701B7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4340" w:rsidRPr="006A4F95" w:rsidRDefault="004A4340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OPŁATY: </w:t>
      </w:r>
    </w:p>
    <w:p w:rsidR="001156FE" w:rsidRPr="004A4340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Wniosek nie podlega opłacie skarbowej</w:t>
      </w:r>
    </w:p>
    <w:p w:rsidR="00037EDE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154F7C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AC4120" w:rsidRDefault="00AC4120" w:rsidP="00AC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Niezwłocznie, nie później niż w ciągu miesiąca, a w sprawach szczególnie skomplikowanych nie później niż w ciągu dwóch miesięcy.</w:t>
      </w:r>
    </w:p>
    <w:p w:rsidR="006704B8" w:rsidRPr="006A4F95" w:rsidRDefault="006704B8" w:rsidP="00B833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Załatwienie sp</w:t>
      </w:r>
      <w:r w:rsidR="00AD467B" w:rsidRPr="006A4F95">
        <w:rPr>
          <w:rFonts w:ascii="Arial" w:hAnsi="Arial" w:cs="Arial"/>
          <w:sz w:val="24"/>
          <w:szCs w:val="24"/>
        </w:rPr>
        <w:t>rawy następuje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="00AD467B" w:rsidRPr="006A4F95">
        <w:rPr>
          <w:rFonts w:ascii="Arial" w:hAnsi="Arial" w:cs="Arial"/>
          <w:sz w:val="24"/>
          <w:szCs w:val="24"/>
        </w:rPr>
        <w:t>formie decyzji</w:t>
      </w:r>
      <w:r w:rsidRPr="006A4F95">
        <w:rPr>
          <w:rFonts w:ascii="Arial" w:hAnsi="Arial" w:cs="Arial"/>
          <w:sz w:val="24"/>
          <w:szCs w:val="24"/>
        </w:rPr>
        <w:t xml:space="preserve">. </w:t>
      </w:r>
    </w:p>
    <w:p w:rsidR="00B8338C" w:rsidRPr="006A4F95" w:rsidRDefault="00B8338C" w:rsidP="00B833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EDE" w:rsidRPr="006A4F95" w:rsidRDefault="00037EDE" w:rsidP="00B833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B8338C" w:rsidRPr="006A4F95" w:rsidRDefault="00B8338C" w:rsidP="00B83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DE" w:rsidRPr="006A4F95" w:rsidRDefault="00037EDE" w:rsidP="00154F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Przepisy Rozdziału 6 Działu III ustawy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21 sierpnia 1997 r.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Pr="006A4F95">
        <w:rPr>
          <w:rFonts w:ascii="Arial" w:hAnsi="Arial" w:cs="Arial"/>
          <w:sz w:val="24"/>
          <w:szCs w:val="24"/>
        </w:rPr>
        <w:t>gospodarce nieruchomościami (</w:t>
      </w:r>
      <w:r w:rsidR="00901F4E"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 w:rsidR="00C47065" w:rsidRPr="006A4F95">
        <w:rPr>
          <w:rFonts w:ascii="Arial" w:hAnsi="Arial" w:cs="Arial"/>
          <w:sz w:val="24"/>
          <w:szCs w:val="24"/>
        </w:rPr>
        <w:t>1</w:t>
      </w:r>
      <w:r w:rsidR="00901F4E">
        <w:rPr>
          <w:rFonts w:ascii="Arial" w:hAnsi="Arial" w:cs="Arial"/>
          <w:sz w:val="24"/>
          <w:szCs w:val="24"/>
        </w:rPr>
        <w:t>8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r.</w:t>
      </w:r>
      <w:r w:rsidR="00CC63A9" w:rsidRPr="006A4F95">
        <w:rPr>
          <w:rFonts w:ascii="Arial" w:hAnsi="Arial" w:cs="Arial"/>
          <w:sz w:val="24"/>
          <w:szCs w:val="24"/>
        </w:rPr>
        <w:t xml:space="preserve"> poz. </w:t>
      </w:r>
      <w:r w:rsidR="00901F4E">
        <w:rPr>
          <w:rFonts w:ascii="Arial" w:hAnsi="Arial" w:cs="Arial"/>
          <w:sz w:val="24"/>
          <w:szCs w:val="24"/>
        </w:rPr>
        <w:t>121</w:t>
      </w:r>
      <w:r w:rsidR="00154F7C"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>zm.</w:t>
      </w:r>
      <w:r w:rsidR="00766E4B" w:rsidRPr="006A4F95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 xml:space="preserve">), </w:t>
      </w:r>
    </w:p>
    <w:p w:rsidR="00037EDE" w:rsidRPr="006A4F95" w:rsidRDefault="00037EDE" w:rsidP="00154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Ustawa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14 czerwca 1960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 xml:space="preserve">r. Kodeks postępowania administracyjnego </w:t>
      </w:r>
      <w:r w:rsidR="004A4340">
        <w:rPr>
          <w:rFonts w:ascii="Arial" w:hAnsi="Arial" w:cs="Arial"/>
          <w:sz w:val="24"/>
          <w:szCs w:val="24"/>
        </w:rPr>
        <w:br/>
      </w:r>
      <w:r w:rsidRPr="006A4F95">
        <w:rPr>
          <w:rFonts w:ascii="Arial" w:hAnsi="Arial" w:cs="Arial"/>
          <w:sz w:val="24"/>
          <w:szCs w:val="24"/>
        </w:rPr>
        <w:t>(</w:t>
      </w:r>
      <w:r w:rsidR="00901F4E"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 w:rsidR="00ED3D6E">
        <w:rPr>
          <w:rFonts w:ascii="Arial" w:hAnsi="Arial" w:cs="Arial"/>
          <w:sz w:val="24"/>
          <w:szCs w:val="24"/>
        </w:rPr>
        <w:t>1</w:t>
      </w:r>
      <w:r w:rsidR="00901F4E">
        <w:rPr>
          <w:rFonts w:ascii="Arial" w:hAnsi="Arial" w:cs="Arial"/>
          <w:sz w:val="24"/>
          <w:szCs w:val="24"/>
        </w:rPr>
        <w:t>7</w:t>
      </w:r>
      <w:r w:rsidRPr="006A4F95">
        <w:rPr>
          <w:rFonts w:ascii="Arial" w:hAnsi="Arial" w:cs="Arial"/>
          <w:sz w:val="24"/>
          <w:szCs w:val="24"/>
        </w:rPr>
        <w:t>r</w:t>
      </w:r>
      <w:r w:rsidR="00CA2EBA">
        <w:rPr>
          <w:rFonts w:ascii="Arial" w:hAnsi="Arial" w:cs="Arial"/>
          <w:sz w:val="24"/>
          <w:szCs w:val="24"/>
        </w:rPr>
        <w:t>.</w:t>
      </w:r>
      <w:r w:rsidRPr="006A4F95">
        <w:rPr>
          <w:rFonts w:ascii="Arial" w:hAnsi="Arial" w:cs="Arial"/>
          <w:sz w:val="24"/>
          <w:szCs w:val="24"/>
        </w:rPr>
        <w:t>,</w:t>
      </w:r>
      <w:r w:rsidR="00CC63A9" w:rsidRPr="006A4F95">
        <w:rPr>
          <w:rFonts w:ascii="Arial" w:hAnsi="Arial" w:cs="Arial"/>
          <w:sz w:val="24"/>
          <w:szCs w:val="24"/>
        </w:rPr>
        <w:t xml:space="preserve"> poz. </w:t>
      </w:r>
      <w:r w:rsidR="00901F4E">
        <w:rPr>
          <w:rFonts w:ascii="Arial" w:hAnsi="Arial" w:cs="Arial"/>
          <w:sz w:val="24"/>
          <w:szCs w:val="24"/>
        </w:rPr>
        <w:t>1257</w:t>
      </w:r>
      <w:r w:rsidR="00154F7C"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 xml:space="preserve">zm.) </w:t>
      </w: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TRYB ODWOŁAWCZY: </w:t>
      </w:r>
    </w:p>
    <w:p w:rsidR="00037EDE" w:rsidRPr="006A4F95" w:rsidRDefault="00037EDE" w:rsidP="00E81FC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Od decyzji starosty służy stronom prawo wniesienia odwołania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="00154F7C">
        <w:rPr>
          <w:rFonts w:ascii="Arial" w:hAnsi="Arial" w:cs="Arial"/>
          <w:sz w:val="24"/>
          <w:szCs w:val="24"/>
        </w:rPr>
        <w:t>do </w:t>
      </w:r>
      <w:r w:rsidRPr="006A4F95">
        <w:rPr>
          <w:rFonts w:ascii="Arial" w:hAnsi="Arial" w:cs="Arial"/>
          <w:sz w:val="24"/>
          <w:szCs w:val="24"/>
        </w:rPr>
        <w:t>Wojewody Zachodniopomorskiego</w:t>
      </w:r>
      <w:r w:rsidR="004A4340">
        <w:rPr>
          <w:rFonts w:ascii="Arial" w:hAnsi="Arial" w:cs="Arial"/>
          <w:sz w:val="24"/>
          <w:szCs w:val="24"/>
        </w:rPr>
        <w:t>,</w:t>
      </w:r>
      <w:r w:rsidR="00CC63A9" w:rsidRPr="006A4F95">
        <w:rPr>
          <w:rFonts w:ascii="Arial" w:hAnsi="Arial" w:cs="Arial"/>
          <w:sz w:val="24"/>
          <w:szCs w:val="24"/>
        </w:rPr>
        <w:t xml:space="preserve"> za </w:t>
      </w:r>
      <w:r w:rsidRPr="006A4F95">
        <w:rPr>
          <w:rFonts w:ascii="Arial" w:hAnsi="Arial" w:cs="Arial"/>
          <w:sz w:val="24"/>
          <w:szCs w:val="24"/>
        </w:rPr>
        <w:t>pośrednictwem Starosty Koszalińskiego</w:t>
      </w:r>
      <w:r w:rsidR="004A4340">
        <w:rPr>
          <w:rFonts w:ascii="Arial" w:hAnsi="Arial" w:cs="Arial"/>
          <w:sz w:val="24"/>
          <w:szCs w:val="24"/>
        </w:rPr>
        <w:t>,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Pr="006A4F95">
        <w:rPr>
          <w:rFonts w:ascii="Arial" w:hAnsi="Arial" w:cs="Arial"/>
          <w:sz w:val="24"/>
          <w:szCs w:val="24"/>
        </w:rPr>
        <w:t>terminie 14 dni</w:t>
      </w:r>
      <w:r w:rsidR="00154F7C">
        <w:rPr>
          <w:rFonts w:ascii="Arial" w:hAnsi="Arial" w:cs="Arial"/>
          <w:sz w:val="24"/>
          <w:szCs w:val="24"/>
        </w:rPr>
        <w:t xml:space="preserve"> od </w:t>
      </w:r>
      <w:r w:rsidRPr="006A4F95">
        <w:rPr>
          <w:rFonts w:ascii="Arial" w:hAnsi="Arial" w:cs="Arial"/>
          <w:sz w:val="24"/>
          <w:szCs w:val="24"/>
        </w:rPr>
        <w:t>daty jej doręczenia.</w:t>
      </w: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4A4340" w:rsidRDefault="004A4340" w:rsidP="004A43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wszystkich elementów wniosku, wnioskodawca zostanie wezwany do ich uzupełnienia i złożenia uzupełnienia w terminie 7 dni w Kancelarii Ogólnej Starostwa Powiatowego w Koszalinie. Nieuzupełnienie wniosku, w terminie 7 dni od daty otrzymania zawiadomienia, spowoduje pozostawienie sprawy bez rozpatrzenia (art.64 § 2 k.p.a.).</w:t>
      </w:r>
    </w:p>
    <w:p w:rsidR="00C47065" w:rsidRPr="006A4F95" w:rsidRDefault="00C47065" w:rsidP="001156FE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3A9" w:rsidRPr="006A4F95" w:rsidRDefault="00CC63A9" w:rsidP="00C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901F4E" w:rsidRPr="006A4F95" w:rsidTr="00037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O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S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Z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901F4E" w:rsidRPr="006A4F95" w:rsidTr="00ED3D6E">
        <w:trPr>
          <w:trHeight w:val="9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E447D4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bCs/>
                <w:sz w:val="24"/>
                <w:szCs w:val="24"/>
              </w:rPr>
              <w:t>Joanna Grochowska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276823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766E4B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bCs/>
                <w:sz w:val="24"/>
                <w:szCs w:val="24"/>
              </w:rPr>
              <w:t>Agnieszka Maślińska</w:t>
            </w:r>
          </w:p>
        </w:tc>
      </w:tr>
      <w:tr w:rsidR="00901F4E" w:rsidRPr="006A4F95" w:rsidTr="00037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901F4E" w:rsidP="00901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 21 maja 2018</w:t>
            </w:r>
            <w:r w:rsidR="00412A79"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412A79" w:rsidP="00901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901F4E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412A79" w:rsidP="00901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901F4E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</w:tr>
    </w:tbl>
    <w:p w:rsidR="009761EB" w:rsidRPr="006A4F95" w:rsidRDefault="009761EB">
      <w:pPr>
        <w:rPr>
          <w:sz w:val="24"/>
          <w:szCs w:val="24"/>
        </w:rPr>
      </w:pPr>
    </w:p>
    <w:sectPr w:rsidR="009761EB" w:rsidRPr="006A4F95" w:rsidSect="00CC5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49915B0"/>
    <w:multiLevelType w:val="hybridMultilevel"/>
    <w:tmpl w:val="6114C1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1493"/>
    <w:multiLevelType w:val="multilevel"/>
    <w:tmpl w:val="85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04887"/>
    <w:multiLevelType w:val="hybridMultilevel"/>
    <w:tmpl w:val="1348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DE"/>
    <w:rsid w:val="00037EDE"/>
    <w:rsid w:val="00083A63"/>
    <w:rsid w:val="001156FE"/>
    <w:rsid w:val="00154F7C"/>
    <w:rsid w:val="001F7F5E"/>
    <w:rsid w:val="00207A70"/>
    <w:rsid w:val="00276823"/>
    <w:rsid w:val="00412A79"/>
    <w:rsid w:val="004A4340"/>
    <w:rsid w:val="0057349B"/>
    <w:rsid w:val="00573A8B"/>
    <w:rsid w:val="005E147E"/>
    <w:rsid w:val="00603B92"/>
    <w:rsid w:val="006704B8"/>
    <w:rsid w:val="006A1A09"/>
    <w:rsid w:val="006A4F95"/>
    <w:rsid w:val="006A71A2"/>
    <w:rsid w:val="006B77F4"/>
    <w:rsid w:val="007215B1"/>
    <w:rsid w:val="0073175E"/>
    <w:rsid w:val="00766E4B"/>
    <w:rsid w:val="007701B7"/>
    <w:rsid w:val="00780B79"/>
    <w:rsid w:val="007A225A"/>
    <w:rsid w:val="007E6F73"/>
    <w:rsid w:val="00860B0F"/>
    <w:rsid w:val="00875872"/>
    <w:rsid w:val="00901F4E"/>
    <w:rsid w:val="009761EB"/>
    <w:rsid w:val="009B4CB9"/>
    <w:rsid w:val="00A21C93"/>
    <w:rsid w:val="00A36F34"/>
    <w:rsid w:val="00A40519"/>
    <w:rsid w:val="00A6432B"/>
    <w:rsid w:val="00AC4120"/>
    <w:rsid w:val="00AD467B"/>
    <w:rsid w:val="00AE6F5E"/>
    <w:rsid w:val="00B47086"/>
    <w:rsid w:val="00B530D7"/>
    <w:rsid w:val="00B8338C"/>
    <w:rsid w:val="00BB653F"/>
    <w:rsid w:val="00BD1D96"/>
    <w:rsid w:val="00C47065"/>
    <w:rsid w:val="00C605E1"/>
    <w:rsid w:val="00CA2EBA"/>
    <w:rsid w:val="00CC5826"/>
    <w:rsid w:val="00CC63A9"/>
    <w:rsid w:val="00CF4302"/>
    <w:rsid w:val="00D47395"/>
    <w:rsid w:val="00DC4588"/>
    <w:rsid w:val="00E447D4"/>
    <w:rsid w:val="00E81FC7"/>
    <w:rsid w:val="00EA5A3A"/>
    <w:rsid w:val="00ED3D6E"/>
    <w:rsid w:val="00F26CCA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F339-0719-4816-AAD4-DBB43D0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0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03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03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7F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F7F5E"/>
    <w:rPr>
      <w:rFonts w:ascii="Times New Roman" w:eastAsia="Verdana" w:hAnsi="Times New Roman"/>
      <w:sz w:val="24"/>
      <w:szCs w:val="24"/>
    </w:rPr>
  </w:style>
  <w:style w:type="paragraph" w:styleId="Bezodstpw">
    <w:name w:val="No Spacing"/>
    <w:uiPriority w:val="1"/>
    <w:qFormat/>
    <w:rsid w:val="006A4F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Joanna Grochowska</cp:lastModifiedBy>
  <cp:revision>6</cp:revision>
  <cp:lastPrinted>2014-11-21T10:28:00Z</cp:lastPrinted>
  <dcterms:created xsi:type="dcterms:W3CDTF">2015-09-30T06:33:00Z</dcterms:created>
  <dcterms:modified xsi:type="dcterms:W3CDTF">2018-05-21T09:21:00Z</dcterms:modified>
</cp:coreProperties>
</file>